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56C" w14:textId="77777777" w:rsidR="0063521A" w:rsidRDefault="0063521A" w:rsidP="0063521A">
      <w:pPr>
        <w:spacing w:after="480"/>
      </w:pPr>
      <w:r>
        <w:rPr>
          <w:noProof/>
        </w:rPr>
        <w:drawing>
          <wp:inline distT="0" distB="0" distL="0" distR="0" wp14:anchorId="78AA3B92" wp14:editId="35BC3CC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63521A" w14:paraId="5B013F29" w14:textId="77777777" w:rsidTr="003F42FD">
        <w:trPr>
          <w:tblHeader/>
        </w:trPr>
        <w:tc>
          <w:tcPr>
            <w:tcW w:w="3456" w:type="dxa"/>
            <w:tcBorders>
              <w:bottom w:val="single" w:sz="18" w:space="0" w:color="auto"/>
            </w:tcBorders>
          </w:tcPr>
          <w:p w14:paraId="08733D7D" w14:textId="77777777" w:rsidR="0063521A" w:rsidRPr="00B805DB" w:rsidRDefault="0063521A" w:rsidP="003F42FD">
            <w:pPr>
              <w:pStyle w:val="Heading1"/>
              <w:spacing w:after="240"/>
              <w:outlineLvl w:val="0"/>
            </w:pPr>
            <w:r>
              <w:t>Report f</w:t>
            </w:r>
            <w:r w:rsidRPr="00C869F3">
              <w:t>or:</w:t>
            </w:r>
          </w:p>
        </w:tc>
        <w:tc>
          <w:tcPr>
            <w:tcW w:w="5054" w:type="dxa"/>
            <w:tcBorders>
              <w:bottom w:val="single" w:sz="18" w:space="0" w:color="auto"/>
            </w:tcBorders>
          </w:tcPr>
          <w:p w14:paraId="480AA24D" w14:textId="77777777" w:rsidR="0063521A" w:rsidRPr="005E3A10" w:rsidRDefault="0063521A" w:rsidP="003F42FD">
            <w:pPr>
              <w:pStyle w:val="Heading1"/>
              <w:outlineLvl w:val="0"/>
              <w:rPr>
                <w:szCs w:val="24"/>
              </w:rPr>
            </w:pPr>
            <w:r w:rsidRPr="005E3A10">
              <w:t>Cabinet</w:t>
            </w:r>
          </w:p>
        </w:tc>
      </w:tr>
      <w:tr w:rsidR="0063521A" w14:paraId="034B9451" w14:textId="77777777" w:rsidTr="003F42FD">
        <w:tc>
          <w:tcPr>
            <w:tcW w:w="3456" w:type="dxa"/>
            <w:tcBorders>
              <w:top w:val="single" w:sz="18" w:space="0" w:color="auto"/>
            </w:tcBorders>
          </w:tcPr>
          <w:p w14:paraId="59E0E3E8" w14:textId="77777777" w:rsidR="0063521A" w:rsidRPr="00C13A5F" w:rsidRDefault="0063521A" w:rsidP="003F42F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3941738" w14:textId="32C4716D" w:rsidR="0063521A" w:rsidRPr="005E3A10" w:rsidRDefault="00EA6076" w:rsidP="003F42FD">
            <w:pPr>
              <w:rPr>
                <w:rFonts w:cs="Arial"/>
                <w:szCs w:val="24"/>
              </w:rPr>
            </w:pPr>
            <w:r>
              <w:rPr>
                <w:rFonts w:cs="Arial"/>
                <w:szCs w:val="24"/>
              </w:rPr>
              <w:t>10 March 2022</w:t>
            </w:r>
          </w:p>
        </w:tc>
      </w:tr>
      <w:tr w:rsidR="0063521A" w14:paraId="15B0AB56" w14:textId="77777777" w:rsidTr="003F42FD">
        <w:tc>
          <w:tcPr>
            <w:tcW w:w="3456" w:type="dxa"/>
          </w:tcPr>
          <w:p w14:paraId="05859A28" w14:textId="77777777" w:rsidR="0063521A" w:rsidRPr="00C13A5F" w:rsidRDefault="0063521A" w:rsidP="003F42FD">
            <w:pPr>
              <w:pStyle w:val="Infotext"/>
              <w:spacing w:after="240"/>
              <w:rPr>
                <w:rFonts w:ascii="Arial Black" w:hAnsi="Arial Black"/>
              </w:rPr>
            </w:pPr>
            <w:r w:rsidRPr="00C13A5F">
              <w:rPr>
                <w:rFonts w:ascii="Arial Black" w:hAnsi="Arial Black" w:cs="Arial"/>
              </w:rPr>
              <w:t>Subject:</w:t>
            </w:r>
          </w:p>
        </w:tc>
        <w:tc>
          <w:tcPr>
            <w:tcW w:w="5054" w:type="dxa"/>
          </w:tcPr>
          <w:p w14:paraId="5E9FDDA3" w14:textId="77777777" w:rsidR="0063521A" w:rsidRDefault="00E60ABB" w:rsidP="003F42FD">
            <w:pPr>
              <w:rPr>
                <w:bCs/>
              </w:rPr>
            </w:pPr>
            <w:r w:rsidRPr="00E60ABB">
              <w:rPr>
                <w:bCs/>
              </w:rPr>
              <w:t xml:space="preserve">Authority to Procure Civil Enforcement </w:t>
            </w:r>
            <w:r>
              <w:rPr>
                <w:bCs/>
              </w:rPr>
              <w:t>A</w:t>
            </w:r>
            <w:r w:rsidRPr="00E60ABB">
              <w:rPr>
                <w:bCs/>
              </w:rPr>
              <w:t>gents (CEA)</w:t>
            </w:r>
          </w:p>
          <w:p w14:paraId="7177A2E2" w14:textId="08AC8CBD" w:rsidR="007603A7" w:rsidRPr="00E60ABB" w:rsidRDefault="007603A7" w:rsidP="003F42FD">
            <w:pPr>
              <w:rPr>
                <w:rFonts w:cs="Arial"/>
                <w:bCs/>
                <w:szCs w:val="24"/>
              </w:rPr>
            </w:pPr>
          </w:p>
        </w:tc>
      </w:tr>
      <w:tr w:rsidR="0063521A" w14:paraId="619821D8" w14:textId="77777777" w:rsidTr="003F42FD">
        <w:tc>
          <w:tcPr>
            <w:tcW w:w="3456" w:type="dxa"/>
          </w:tcPr>
          <w:p w14:paraId="35A9B485"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Key Decision:</w:t>
            </w:r>
          </w:p>
        </w:tc>
        <w:tc>
          <w:tcPr>
            <w:tcW w:w="5054" w:type="dxa"/>
          </w:tcPr>
          <w:p w14:paraId="4A7F2796" w14:textId="77777777" w:rsidR="0063521A" w:rsidRDefault="0063521A" w:rsidP="003F42FD">
            <w:pPr>
              <w:pStyle w:val="Infotext"/>
              <w:rPr>
                <w:rFonts w:cs="Arial"/>
                <w:sz w:val="24"/>
                <w:szCs w:val="24"/>
              </w:rPr>
            </w:pPr>
            <w:r w:rsidRPr="005E3A10">
              <w:rPr>
                <w:rFonts w:cs="Arial"/>
                <w:sz w:val="24"/>
                <w:szCs w:val="24"/>
              </w:rPr>
              <w:t xml:space="preserve">Yes </w:t>
            </w:r>
          </w:p>
          <w:p w14:paraId="0B1E7418" w14:textId="77777777" w:rsidR="0063521A" w:rsidRDefault="0063521A" w:rsidP="003F42FD">
            <w:pPr>
              <w:pStyle w:val="Infotext"/>
              <w:rPr>
                <w:rFonts w:cs="Arial"/>
                <w:color w:val="FF0000"/>
                <w:sz w:val="24"/>
                <w:szCs w:val="24"/>
              </w:rPr>
            </w:pPr>
          </w:p>
          <w:p w14:paraId="20F13C04" w14:textId="77777777" w:rsidR="0063521A" w:rsidRPr="005E3A10" w:rsidRDefault="0063521A" w:rsidP="00B375FF">
            <w:pPr>
              <w:autoSpaceDE w:val="0"/>
              <w:autoSpaceDN w:val="0"/>
              <w:adjustRightInd w:val="0"/>
              <w:jc w:val="both"/>
              <w:rPr>
                <w:rFonts w:cs="Arial"/>
                <w:szCs w:val="24"/>
              </w:rPr>
            </w:pPr>
          </w:p>
        </w:tc>
      </w:tr>
      <w:tr w:rsidR="0063521A" w14:paraId="790C87E9" w14:textId="77777777" w:rsidTr="003F42FD">
        <w:tc>
          <w:tcPr>
            <w:tcW w:w="3456" w:type="dxa"/>
          </w:tcPr>
          <w:p w14:paraId="245744BF"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42F061" w14:textId="66306BC4" w:rsidR="0063521A" w:rsidRPr="005E3A10" w:rsidRDefault="00B375FF" w:rsidP="007603A7">
            <w:pPr>
              <w:pStyle w:val="Infotext"/>
              <w:rPr>
                <w:rFonts w:cs="Arial"/>
                <w:sz w:val="24"/>
                <w:szCs w:val="24"/>
              </w:rPr>
            </w:pPr>
            <w:r>
              <w:rPr>
                <w:rFonts w:cs="Arial"/>
                <w:sz w:val="24"/>
                <w:szCs w:val="24"/>
              </w:rPr>
              <w:t xml:space="preserve">Dawn Calvert – Director of </w:t>
            </w:r>
            <w:r w:rsidR="007603A7">
              <w:rPr>
                <w:rFonts w:cs="Arial"/>
                <w:sz w:val="24"/>
                <w:szCs w:val="24"/>
              </w:rPr>
              <w:t>Finance</w:t>
            </w:r>
            <w:r>
              <w:rPr>
                <w:rFonts w:cs="Arial"/>
                <w:sz w:val="24"/>
                <w:szCs w:val="24"/>
              </w:rPr>
              <w:t xml:space="preserve"> </w:t>
            </w:r>
          </w:p>
        </w:tc>
      </w:tr>
      <w:tr w:rsidR="0063521A" w14:paraId="4467ECB9" w14:textId="77777777" w:rsidTr="003F42FD">
        <w:tc>
          <w:tcPr>
            <w:tcW w:w="3456" w:type="dxa"/>
          </w:tcPr>
          <w:p w14:paraId="70C6EB34" w14:textId="77777777" w:rsidR="0063521A" w:rsidRPr="00C13A5F" w:rsidRDefault="0063521A" w:rsidP="003F42FD">
            <w:pPr>
              <w:pStyle w:val="Infotext"/>
              <w:spacing w:after="240"/>
              <w:rPr>
                <w:rFonts w:ascii="Arial Black" w:hAnsi="Arial Black"/>
              </w:rPr>
            </w:pPr>
            <w:r w:rsidRPr="00DB6C3D">
              <w:rPr>
                <w:rFonts w:ascii="Arial Black" w:hAnsi="Arial Black"/>
              </w:rPr>
              <w:t>Portfolio Holder:</w:t>
            </w:r>
          </w:p>
        </w:tc>
        <w:tc>
          <w:tcPr>
            <w:tcW w:w="5054" w:type="dxa"/>
          </w:tcPr>
          <w:p w14:paraId="5A7F1C74" w14:textId="6D4A4AA6" w:rsidR="00B375FF" w:rsidRPr="00DC7FD5" w:rsidRDefault="00B375FF" w:rsidP="00B375FF">
            <w:pPr>
              <w:pStyle w:val="Infotext"/>
              <w:rPr>
                <w:rFonts w:cs="Arial"/>
                <w:sz w:val="24"/>
                <w:szCs w:val="24"/>
              </w:rPr>
            </w:pPr>
            <w:r>
              <w:rPr>
                <w:sz w:val="24"/>
                <w:szCs w:val="24"/>
              </w:rPr>
              <w:t xml:space="preserve">Councillor Natasha Proctor – </w:t>
            </w:r>
            <w:r w:rsidR="007603A7">
              <w:rPr>
                <w:sz w:val="24"/>
                <w:szCs w:val="24"/>
              </w:rPr>
              <w:t xml:space="preserve">Deputy Leader and </w:t>
            </w:r>
            <w:r>
              <w:rPr>
                <w:sz w:val="24"/>
                <w:szCs w:val="24"/>
              </w:rPr>
              <w:t>Portfolio Holder for Finance and Resources</w:t>
            </w:r>
            <w:r w:rsidRPr="00DC7FD5">
              <w:rPr>
                <w:sz w:val="24"/>
                <w:szCs w:val="24"/>
              </w:rPr>
              <w:t xml:space="preserve"> </w:t>
            </w:r>
          </w:p>
          <w:p w14:paraId="1A3A29F2" w14:textId="597382A7" w:rsidR="0063521A" w:rsidRPr="005E3A10" w:rsidRDefault="0063521A" w:rsidP="003F42FD">
            <w:pPr>
              <w:pStyle w:val="Infotext"/>
              <w:rPr>
                <w:rFonts w:cs="Arial"/>
                <w:color w:val="FF0000"/>
                <w:sz w:val="24"/>
                <w:szCs w:val="24"/>
              </w:rPr>
            </w:pPr>
          </w:p>
        </w:tc>
      </w:tr>
      <w:tr w:rsidR="0063521A" w14:paraId="75CAF5C1" w14:textId="77777777" w:rsidTr="003F42FD">
        <w:tc>
          <w:tcPr>
            <w:tcW w:w="3456" w:type="dxa"/>
          </w:tcPr>
          <w:p w14:paraId="61F15DCE" w14:textId="77777777" w:rsidR="0063521A" w:rsidRPr="00C13A5F" w:rsidRDefault="0063521A" w:rsidP="003F42FD">
            <w:pPr>
              <w:pStyle w:val="Infotext"/>
              <w:spacing w:after="240"/>
              <w:rPr>
                <w:rFonts w:ascii="Arial Black" w:hAnsi="Arial Black"/>
              </w:rPr>
            </w:pPr>
            <w:r w:rsidRPr="00DB6C3D">
              <w:rPr>
                <w:rFonts w:ascii="Arial Black" w:hAnsi="Arial Black"/>
              </w:rPr>
              <w:t>Exempt:</w:t>
            </w:r>
          </w:p>
        </w:tc>
        <w:tc>
          <w:tcPr>
            <w:tcW w:w="5054" w:type="dxa"/>
          </w:tcPr>
          <w:p w14:paraId="03A8978F" w14:textId="77777777" w:rsidR="0063521A" w:rsidRPr="005E3A10" w:rsidRDefault="0063521A" w:rsidP="0063521A">
            <w:pPr>
              <w:pStyle w:val="Infotext"/>
              <w:rPr>
                <w:rFonts w:cs="Arial"/>
                <w:color w:val="FF0000"/>
                <w:sz w:val="24"/>
                <w:szCs w:val="24"/>
              </w:rPr>
            </w:pPr>
            <w:r>
              <w:rPr>
                <w:rFonts w:cs="Arial"/>
                <w:sz w:val="24"/>
                <w:szCs w:val="24"/>
              </w:rPr>
              <w:t>No</w:t>
            </w:r>
            <w:r w:rsidRPr="005E3A10">
              <w:rPr>
                <w:rFonts w:cs="Arial"/>
                <w:sz w:val="24"/>
                <w:szCs w:val="24"/>
              </w:rPr>
              <w:t xml:space="preserve"> </w:t>
            </w:r>
          </w:p>
        </w:tc>
      </w:tr>
      <w:tr w:rsidR="0063521A" w14:paraId="127CBF73" w14:textId="77777777" w:rsidTr="003F42FD">
        <w:tc>
          <w:tcPr>
            <w:tcW w:w="3456" w:type="dxa"/>
          </w:tcPr>
          <w:p w14:paraId="0642DEC9" w14:textId="77777777" w:rsidR="0063521A" w:rsidRPr="00C13A5F" w:rsidRDefault="0063521A" w:rsidP="003F42FD">
            <w:pPr>
              <w:pStyle w:val="Infotext"/>
              <w:spacing w:after="240"/>
              <w:rPr>
                <w:rFonts w:ascii="Arial Black" w:hAnsi="Arial Black"/>
              </w:rPr>
            </w:pPr>
            <w:r w:rsidRPr="00DB6C3D">
              <w:rPr>
                <w:rFonts w:ascii="Arial Black" w:hAnsi="Arial Black"/>
              </w:rPr>
              <w:t>Decision subject to Call-in:</w:t>
            </w:r>
          </w:p>
        </w:tc>
        <w:tc>
          <w:tcPr>
            <w:tcW w:w="5054" w:type="dxa"/>
          </w:tcPr>
          <w:p w14:paraId="4E696743" w14:textId="77777777" w:rsidR="00FB0DCB" w:rsidRDefault="00FB0DCB" w:rsidP="003F42FD">
            <w:pPr>
              <w:pStyle w:val="Infotext"/>
              <w:rPr>
                <w:rFonts w:cs="Arial"/>
                <w:sz w:val="24"/>
                <w:szCs w:val="24"/>
              </w:rPr>
            </w:pPr>
          </w:p>
          <w:p w14:paraId="3CAB4F8E" w14:textId="77777777" w:rsidR="0063521A" w:rsidRPr="005E3A10" w:rsidRDefault="0063521A" w:rsidP="003F42FD">
            <w:pPr>
              <w:pStyle w:val="Infotext"/>
              <w:rPr>
                <w:rFonts w:cs="Arial"/>
                <w:sz w:val="24"/>
                <w:szCs w:val="24"/>
              </w:rPr>
            </w:pPr>
            <w:r w:rsidRPr="005E3A10">
              <w:rPr>
                <w:rFonts w:cs="Arial"/>
                <w:sz w:val="24"/>
                <w:szCs w:val="24"/>
              </w:rPr>
              <w:t xml:space="preserve">Yes </w:t>
            </w:r>
          </w:p>
          <w:p w14:paraId="1317C8BD" w14:textId="77777777" w:rsidR="0063521A" w:rsidRPr="005E3A10" w:rsidRDefault="0063521A" w:rsidP="0063521A">
            <w:pPr>
              <w:rPr>
                <w:rFonts w:cs="Arial"/>
                <w:szCs w:val="24"/>
              </w:rPr>
            </w:pPr>
          </w:p>
        </w:tc>
      </w:tr>
      <w:tr w:rsidR="0063521A" w14:paraId="3F5D5920" w14:textId="77777777" w:rsidTr="003F42FD">
        <w:tc>
          <w:tcPr>
            <w:tcW w:w="3456" w:type="dxa"/>
          </w:tcPr>
          <w:p w14:paraId="56C94883" w14:textId="77777777" w:rsidR="0063521A" w:rsidRPr="00C13A5F" w:rsidRDefault="0063521A" w:rsidP="003F42FD">
            <w:pPr>
              <w:pStyle w:val="Infotext"/>
              <w:spacing w:after="240"/>
              <w:rPr>
                <w:rFonts w:ascii="Arial Black" w:hAnsi="Arial Black" w:cs="Arial"/>
              </w:rPr>
            </w:pPr>
            <w:r>
              <w:rPr>
                <w:rFonts w:ascii="Arial Black" w:hAnsi="Arial Black" w:cs="Arial"/>
              </w:rPr>
              <w:t>Wards affected:</w:t>
            </w:r>
          </w:p>
        </w:tc>
        <w:tc>
          <w:tcPr>
            <w:tcW w:w="5054" w:type="dxa"/>
          </w:tcPr>
          <w:p w14:paraId="02EFAA1A" w14:textId="77777777" w:rsidR="0063521A" w:rsidRPr="00307F76" w:rsidRDefault="0063521A" w:rsidP="0063521A">
            <w:pPr>
              <w:rPr>
                <w:rFonts w:cs="Arial"/>
                <w:b/>
                <w:color w:val="FF0000"/>
                <w:szCs w:val="24"/>
              </w:rPr>
            </w:pPr>
            <w:r>
              <w:rPr>
                <w:rFonts w:cs="Arial"/>
                <w:szCs w:val="24"/>
              </w:rPr>
              <w:t xml:space="preserve">All </w:t>
            </w:r>
          </w:p>
        </w:tc>
      </w:tr>
      <w:tr w:rsidR="0063521A" w14:paraId="7DFD48F2" w14:textId="77777777" w:rsidTr="003F42FD">
        <w:tc>
          <w:tcPr>
            <w:tcW w:w="3456" w:type="dxa"/>
          </w:tcPr>
          <w:p w14:paraId="7B30E482" w14:textId="77777777" w:rsidR="0063521A" w:rsidRPr="00C13A5F" w:rsidRDefault="0063521A" w:rsidP="003F42FD">
            <w:pPr>
              <w:pStyle w:val="Infotext"/>
              <w:spacing w:after="240"/>
              <w:rPr>
                <w:rFonts w:ascii="Arial Black" w:hAnsi="Arial Black" w:cs="Arial"/>
              </w:rPr>
            </w:pPr>
            <w:r w:rsidRPr="00C13A5F">
              <w:rPr>
                <w:rFonts w:ascii="Arial Black" w:hAnsi="Arial Black" w:cs="Arial"/>
              </w:rPr>
              <w:t>Enclosures:</w:t>
            </w:r>
          </w:p>
        </w:tc>
        <w:tc>
          <w:tcPr>
            <w:tcW w:w="5054" w:type="dxa"/>
          </w:tcPr>
          <w:p w14:paraId="36D755A4" w14:textId="7DD8620C" w:rsidR="00E60ABB" w:rsidRPr="00E60ABB" w:rsidRDefault="00E60ABB" w:rsidP="00180B13">
            <w:pPr>
              <w:pStyle w:val="Infotext"/>
              <w:rPr>
                <w:sz w:val="24"/>
                <w:szCs w:val="24"/>
              </w:rPr>
            </w:pPr>
            <w:r w:rsidRPr="00E60ABB">
              <w:rPr>
                <w:rFonts w:cs="Arial"/>
                <w:sz w:val="24"/>
                <w:szCs w:val="24"/>
              </w:rPr>
              <w:t xml:space="preserve">Appendix 1 – Equalities Impact Assessment </w:t>
            </w:r>
            <w:r>
              <w:rPr>
                <w:rFonts w:cs="Arial"/>
                <w:sz w:val="24"/>
                <w:szCs w:val="24"/>
              </w:rPr>
              <w:t>(EqIA)</w:t>
            </w:r>
            <w:r w:rsidR="007603A7">
              <w:rPr>
                <w:rFonts w:cs="Arial"/>
                <w:sz w:val="24"/>
                <w:szCs w:val="24"/>
              </w:rPr>
              <w:t xml:space="preserve"> </w:t>
            </w:r>
          </w:p>
        </w:tc>
      </w:tr>
    </w:tbl>
    <w:p w14:paraId="78E459FB" w14:textId="77777777" w:rsidR="0063521A" w:rsidRDefault="0063521A" w:rsidP="0063521A">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63521A" w14:paraId="66D45CD5" w14:textId="77777777" w:rsidTr="003F42FD">
        <w:trPr>
          <w:tblHeader/>
        </w:trPr>
        <w:tc>
          <w:tcPr>
            <w:tcW w:w="8525" w:type="dxa"/>
            <w:tcBorders>
              <w:top w:val="nil"/>
              <w:left w:val="nil"/>
              <w:right w:val="nil"/>
            </w:tcBorders>
          </w:tcPr>
          <w:p w14:paraId="6B5CEBF1" w14:textId="77777777" w:rsidR="0063521A" w:rsidRDefault="0063521A" w:rsidP="003F42FD">
            <w:pPr>
              <w:pStyle w:val="Heading2"/>
              <w:spacing w:after="240"/>
            </w:pPr>
            <w:r>
              <w:lastRenderedPageBreak/>
              <w:t>Section 1 – Summary and Recommendations</w:t>
            </w:r>
          </w:p>
        </w:tc>
      </w:tr>
      <w:tr w:rsidR="0063521A" w14:paraId="0A72240D" w14:textId="77777777" w:rsidTr="003F42FD">
        <w:trPr>
          <w:tblHeader/>
        </w:trPr>
        <w:tc>
          <w:tcPr>
            <w:tcW w:w="8525" w:type="dxa"/>
          </w:tcPr>
          <w:p w14:paraId="7BFA40F3" w14:textId="1BD72EAD" w:rsidR="0063521A" w:rsidRDefault="00F118B1" w:rsidP="003F42FD">
            <w:pPr>
              <w:rPr>
                <w:color w:val="0000FF"/>
              </w:rPr>
            </w:pPr>
            <w:r w:rsidRPr="00F118B1">
              <w:t xml:space="preserve">The purpose of the report is to seek authority to procure two </w:t>
            </w:r>
            <w:r w:rsidR="00F35B4C">
              <w:t xml:space="preserve">external </w:t>
            </w:r>
            <w:r w:rsidRPr="00F118B1">
              <w:t xml:space="preserve">contractors to support the collection of unpaid </w:t>
            </w:r>
            <w:r w:rsidR="00E60ABB">
              <w:t xml:space="preserve">Harrow Council </w:t>
            </w:r>
            <w:r w:rsidRPr="00F118B1">
              <w:t>debt</w:t>
            </w:r>
            <w:r w:rsidR="00E60ABB">
              <w:t xml:space="preserve">s, principally in relation to </w:t>
            </w:r>
            <w:r w:rsidRPr="00F118B1">
              <w:t>Council Tax, Business Rates</w:t>
            </w:r>
            <w:r w:rsidR="00B375FF">
              <w:t>,</w:t>
            </w:r>
            <w:r w:rsidRPr="00F118B1">
              <w:t xml:space="preserve"> Parking </w:t>
            </w:r>
            <w:r w:rsidR="00E60ABB">
              <w:t>Control Notices</w:t>
            </w:r>
            <w:r w:rsidR="00B375FF">
              <w:t xml:space="preserve"> and Sundry Debtors</w:t>
            </w:r>
            <w:r>
              <w:rPr>
                <w:color w:val="0000FF"/>
              </w:rPr>
              <w:t xml:space="preserve">. </w:t>
            </w:r>
          </w:p>
          <w:p w14:paraId="4A9AA7DB" w14:textId="77777777" w:rsidR="0063521A" w:rsidRPr="00605A4C" w:rsidRDefault="0063521A" w:rsidP="003F42FD">
            <w:pPr>
              <w:pStyle w:val="Heading3"/>
              <w:spacing w:before="240"/>
            </w:pPr>
            <w:r>
              <w:t>Recommen</w:t>
            </w:r>
            <w:r w:rsidRPr="00605A4C">
              <w:t xml:space="preserve">dations: </w:t>
            </w:r>
          </w:p>
          <w:p w14:paraId="2A2666E2" w14:textId="77777777" w:rsidR="0063521A" w:rsidRDefault="0063521A" w:rsidP="003F42FD">
            <w:r>
              <w:t>Cabinet is requested to:</w:t>
            </w:r>
          </w:p>
          <w:p w14:paraId="1E45BC47" w14:textId="77777777" w:rsidR="00F118B1" w:rsidRDefault="00F118B1" w:rsidP="003F42FD"/>
          <w:p w14:paraId="7454B0E7" w14:textId="2D4DE5E0" w:rsidR="00F118B1" w:rsidRDefault="00A00D55" w:rsidP="00A00D55">
            <w:pPr>
              <w:pStyle w:val="ListParagraph"/>
              <w:numPr>
                <w:ilvl w:val="0"/>
                <w:numId w:val="7"/>
              </w:numPr>
              <w:jc w:val="both"/>
            </w:pPr>
            <w:r>
              <w:t xml:space="preserve">Authorise </w:t>
            </w:r>
            <w:r w:rsidR="00F118B1">
              <w:t xml:space="preserve">the procurement </w:t>
            </w:r>
            <w:r>
              <w:t xml:space="preserve">for </w:t>
            </w:r>
            <w:r w:rsidR="00F118B1">
              <w:t xml:space="preserve">up to two suppliers </w:t>
            </w:r>
            <w:r>
              <w:t xml:space="preserve">to provide </w:t>
            </w:r>
            <w:r w:rsidR="009009A9">
              <w:t xml:space="preserve">collection and </w:t>
            </w:r>
            <w:r>
              <w:t xml:space="preserve">enforcement services </w:t>
            </w:r>
            <w:r w:rsidR="00F118B1">
              <w:t xml:space="preserve">for </w:t>
            </w:r>
            <w:r w:rsidR="004517F3">
              <w:t xml:space="preserve">Council Tax, Business Rates, Parking Control Notices </w:t>
            </w:r>
            <w:r w:rsidR="009009A9">
              <w:t xml:space="preserve">and Sundry Debts, for </w:t>
            </w:r>
            <w:r w:rsidR="00F118B1">
              <w:t xml:space="preserve">a period of </w:t>
            </w:r>
            <w:r>
              <w:t>three years with an optional two-year extension plus a further optional two-year extension</w:t>
            </w:r>
            <w:r w:rsidR="00F669D2">
              <w:t xml:space="preserve"> and for a value o</w:t>
            </w:r>
            <w:r w:rsidR="00326581">
              <w:t xml:space="preserve">f £10m over the </w:t>
            </w:r>
            <w:r w:rsidR="007603A7">
              <w:t>7-year</w:t>
            </w:r>
            <w:r w:rsidR="00326581">
              <w:t xml:space="preserve"> period</w:t>
            </w:r>
            <w:r w:rsidR="007603A7">
              <w:t>;</w:t>
            </w:r>
          </w:p>
          <w:p w14:paraId="207892A1" w14:textId="77777777" w:rsidR="007603A7" w:rsidRDefault="007603A7" w:rsidP="007603A7">
            <w:pPr>
              <w:pStyle w:val="ListParagraph"/>
              <w:jc w:val="both"/>
            </w:pPr>
          </w:p>
          <w:p w14:paraId="70138833" w14:textId="48B6E660" w:rsidR="00A00D55" w:rsidRDefault="00F118B1" w:rsidP="00A00D55">
            <w:pPr>
              <w:pStyle w:val="ListParagraph"/>
              <w:numPr>
                <w:ilvl w:val="0"/>
                <w:numId w:val="7"/>
              </w:numPr>
              <w:jc w:val="both"/>
            </w:pPr>
            <w:r>
              <w:t xml:space="preserve">Authorise the procurement in accordance with </w:t>
            </w:r>
            <w:r w:rsidR="00A00D55">
              <w:t xml:space="preserve">Public Procurement </w:t>
            </w:r>
            <w:r>
              <w:t>rules and Contract Standing Orders</w:t>
            </w:r>
            <w:r w:rsidR="007603A7">
              <w:t>; and</w:t>
            </w:r>
          </w:p>
          <w:p w14:paraId="63DFCA2E" w14:textId="77777777" w:rsidR="007603A7" w:rsidRDefault="007603A7" w:rsidP="007603A7">
            <w:pPr>
              <w:pStyle w:val="ListParagraph"/>
            </w:pPr>
          </w:p>
          <w:p w14:paraId="385CF727" w14:textId="3F7CF83D" w:rsidR="00F118B1" w:rsidRDefault="00A00D55" w:rsidP="003F42FD">
            <w:pPr>
              <w:pStyle w:val="ListParagraph"/>
              <w:numPr>
                <w:ilvl w:val="0"/>
                <w:numId w:val="7"/>
              </w:numPr>
              <w:jc w:val="both"/>
            </w:pPr>
            <w:r>
              <w:t>D</w:t>
            </w:r>
            <w:r w:rsidR="00F118B1">
              <w:t xml:space="preserve">elegate authority to </w:t>
            </w:r>
            <w:r w:rsidR="009009A9">
              <w:t xml:space="preserve">award a contract under recommendations 1 and 2 above </w:t>
            </w:r>
            <w:r w:rsidR="00F118B1">
              <w:t xml:space="preserve">to the </w:t>
            </w:r>
            <w:r w:rsidR="00B375FF">
              <w:t>Director of Finance</w:t>
            </w:r>
            <w:r w:rsidR="009009A9">
              <w:t>,</w:t>
            </w:r>
            <w:r w:rsidR="00F118B1">
              <w:t xml:space="preserve"> in consultation with the Portfolio Holder for Finance and Resources</w:t>
            </w:r>
            <w:r w:rsidR="009009A9">
              <w:t xml:space="preserve">.  </w:t>
            </w:r>
            <w:r w:rsidR="00F118B1">
              <w:t xml:space="preserve"> </w:t>
            </w:r>
          </w:p>
          <w:p w14:paraId="618258ED" w14:textId="77777777" w:rsidR="009009A9" w:rsidRDefault="009009A9" w:rsidP="009009A9">
            <w:pPr>
              <w:pStyle w:val="ListParagraph"/>
              <w:jc w:val="both"/>
            </w:pPr>
          </w:p>
          <w:p w14:paraId="609A5A0E" w14:textId="278F5970" w:rsidR="0063521A" w:rsidRDefault="0063521A" w:rsidP="00F118B1">
            <w:pPr>
              <w:pStyle w:val="Heading3"/>
              <w:ind w:left="0" w:firstLine="0"/>
              <w:jc w:val="left"/>
            </w:pPr>
            <w:r>
              <w:t>Reason (f</w:t>
            </w:r>
            <w:r w:rsidRPr="00605A4C">
              <w:t>or recommendations</w:t>
            </w:r>
            <w:r w:rsidR="007603A7">
              <w:t>):</w:t>
            </w:r>
          </w:p>
          <w:p w14:paraId="1C7DC2C0" w14:textId="77777777" w:rsidR="00B832E0" w:rsidRDefault="00A00D55" w:rsidP="009009A9">
            <w:pPr>
              <w:ind w:right="222"/>
              <w:jc w:val="both"/>
              <w:rPr>
                <w:rFonts w:cs="Arial"/>
                <w:szCs w:val="24"/>
              </w:rPr>
            </w:pPr>
            <w:r>
              <w:t xml:space="preserve">The existing </w:t>
            </w:r>
            <w:r w:rsidR="00F118B1">
              <w:t>contract</w:t>
            </w:r>
            <w:r>
              <w:t xml:space="preserve"> agreements f</w:t>
            </w:r>
            <w:r w:rsidR="00F118B1">
              <w:t>or Enforcement Agent services</w:t>
            </w:r>
            <w:r>
              <w:t>,</w:t>
            </w:r>
            <w:r w:rsidR="00F118B1">
              <w:t xml:space="preserve"> expire on 7</w:t>
            </w:r>
            <w:r w:rsidR="00F118B1" w:rsidRPr="00F118B1">
              <w:rPr>
                <w:vertAlign w:val="superscript"/>
              </w:rPr>
              <w:t>th</w:t>
            </w:r>
            <w:r w:rsidR="00F118B1">
              <w:t xml:space="preserve"> November 2022. Currently</w:t>
            </w:r>
            <w:r>
              <w:t xml:space="preserve">, </w:t>
            </w:r>
            <w:r w:rsidR="00F118B1">
              <w:t xml:space="preserve">two </w:t>
            </w:r>
            <w:r>
              <w:t xml:space="preserve">suppliers deliver the contracted services concerned that encompass </w:t>
            </w:r>
            <w:r w:rsidR="00B832E0">
              <w:rPr>
                <w:rFonts w:cs="Arial"/>
                <w:szCs w:val="24"/>
              </w:rPr>
              <w:t xml:space="preserve">the collection of </w:t>
            </w:r>
            <w:r>
              <w:rPr>
                <w:rFonts w:cs="Arial"/>
                <w:szCs w:val="24"/>
              </w:rPr>
              <w:t xml:space="preserve">Harrow </w:t>
            </w:r>
            <w:r w:rsidR="00B832E0">
              <w:rPr>
                <w:rFonts w:cs="Arial"/>
                <w:szCs w:val="24"/>
              </w:rPr>
              <w:t>Council income</w:t>
            </w:r>
            <w:r w:rsidR="003312FE">
              <w:rPr>
                <w:rFonts w:cs="Arial"/>
                <w:szCs w:val="24"/>
              </w:rPr>
              <w:t>,</w:t>
            </w:r>
            <w:r w:rsidR="00B832E0">
              <w:rPr>
                <w:rFonts w:cs="Arial"/>
                <w:szCs w:val="24"/>
              </w:rPr>
              <w:t xml:space="preserve"> where the Council </w:t>
            </w:r>
            <w:r>
              <w:rPr>
                <w:rFonts w:cs="Arial"/>
                <w:szCs w:val="24"/>
              </w:rPr>
              <w:t xml:space="preserve">has been unable to </w:t>
            </w:r>
            <w:r w:rsidR="00B832E0">
              <w:rPr>
                <w:rFonts w:cs="Arial"/>
                <w:szCs w:val="24"/>
              </w:rPr>
              <w:t>collect it directly</w:t>
            </w:r>
            <w:r>
              <w:rPr>
                <w:rFonts w:cs="Arial"/>
                <w:szCs w:val="24"/>
              </w:rPr>
              <w:t xml:space="preserve">.  </w:t>
            </w:r>
            <w:r w:rsidR="00B832E0">
              <w:rPr>
                <w:rFonts w:cs="Arial"/>
                <w:szCs w:val="24"/>
              </w:rPr>
              <w:t xml:space="preserve"> </w:t>
            </w:r>
          </w:p>
          <w:p w14:paraId="1FA4F64D" w14:textId="77777777" w:rsidR="00B832E0" w:rsidRDefault="00B832E0" w:rsidP="009009A9">
            <w:pPr>
              <w:jc w:val="both"/>
            </w:pPr>
          </w:p>
          <w:p w14:paraId="1689A471" w14:textId="56E9D2B8" w:rsidR="00B832E0" w:rsidRDefault="00B832E0" w:rsidP="009009A9">
            <w:pPr>
              <w:jc w:val="both"/>
            </w:pPr>
            <w:r>
              <w:t>Not procuring external partners</w:t>
            </w:r>
            <w:r w:rsidR="00A00D55">
              <w:t xml:space="preserve">, </w:t>
            </w:r>
            <w:r>
              <w:t xml:space="preserve">would </w:t>
            </w:r>
            <w:r w:rsidR="00A00D55">
              <w:t xml:space="preserve">potentially </w:t>
            </w:r>
            <w:r>
              <w:t xml:space="preserve">leave the authority with </w:t>
            </w:r>
            <w:r w:rsidR="00A00D55">
              <w:t>l</w:t>
            </w:r>
            <w:r w:rsidR="003312FE">
              <w:t xml:space="preserve">imited ability to collect </w:t>
            </w:r>
            <w:r w:rsidR="004517F3">
              <w:t xml:space="preserve">approximately </w:t>
            </w:r>
            <w:r w:rsidR="004517F3" w:rsidRPr="003F42FD">
              <w:t>£</w:t>
            </w:r>
            <w:r w:rsidRPr="003F42FD">
              <w:t>5</w:t>
            </w:r>
            <w:r w:rsidR="00B375FF">
              <w:t>m</w:t>
            </w:r>
            <w:r w:rsidR="003F42FD" w:rsidRPr="003F42FD">
              <w:t xml:space="preserve"> per annum </w:t>
            </w:r>
            <w:r w:rsidR="003312FE" w:rsidRPr="003F42FD">
              <w:t>i</w:t>
            </w:r>
            <w:r w:rsidR="003312FE" w:rsidRPr="003312FE">
              <w:t xml:space="preserve">n relation to </w:t>
            </w:r>
            <w:r>
              <w:t xml:space="preserve">unpaid </w:t>
            </w:r>
            <w:r w:rsidR="003312FE">
              <w:t xml:space="preserve">Council Tax, Business Rates, Parking Control Notices (PCN’s) and other </w:t>
            </w:r>
            <w:r>
              <w:t>unpaid Council charges, which would impact adversely on the Council’s budget.</w:t>
            </w:r>
          </w:p>
          <w:p w14:paraId="39764CEE" w14:textId="77777777" w:rsidR="00F118B1" w:rsidRPr="00F118B1" w:rsidRDefault="00F118B1" w:rsidP="00F118B1"/>
        </w:tc>
      </w:tr>
    </w:tbl>
    <w:p w14:paraId="57DDB52D" w14:textId="77777777" w:rsidR="0063521A" w:rsidRDefault="0063521A" w:rsidP="0063521A">
      <w:pPr>
        <w:pStyle w:val="Heading2"/>
        <w:spacing w:before="480"/>
      </w:pPr>
      <w:r>
        <w:t>Section 2 – Report</w:t>
      </w:r>
    </w:p>
    <w:p w14:paraId="6F7C70DD" w14:textId="77777777" w:rsidR="0063521A" w:rsidRDefault="0063521A" w:rsidP="0063521A">
      <w:pPr>
        <w:pStyle w:val="Heading3"/>
        <w:spacing w:before="240"/>
      </w:pPr>
      <w:r>
        <w:t>Introductory paragraph</w:t>
      </w:r>
    </w:p>
    <w:p w14:paraId="1402AF3F" w14:textId="77777777" w:rsidR="00B832E0" w:rsidRDefault="00B832E0" w:rsidP="0063521A"/>
    <w:p w14:paraId="4609B929" w14:textId="77777777" w:rsidR="00B832E0" w:rsidRDefault="00B832E0" w:rsidP="00B832E0">
      <w:pPr>
        <w:jc w:val="both"/>
        <w:rPr>
          <w:rFonts w:cs="Arial"/>
          <w:szCs w:val="24"/>
        </w:rPr>
      </w:pPr>
      <w:r>
        <w:rPr>
          <w:rFonts w:cs="Arial"/>
          <w:szCs w:val="24"/>
        </w:rPr>
        <w:t xml:space="preserve">Income collection relies on both internal and external </w:t>
      </w:r>
      <w:r w:rsidR="003312FE">
        <w:rPr>
          <w:rFonts w:cs="Arial"/>
          <w:szCs w:val="24"/>
        </w:rPr>
        <w:t xml:space="preserve">collection and enforcement activities.  </w:t>
      </w:r>
      <w:r>
        <w:rPr>
          <w:rFonts w:cs="Arial"/>
          <w:szCs w:val="24"/>
        </w:rPr>
        <w:t xml:space="preserve">Harrow Council does not </w:t>
      </w:r>
      <w:r w:rsidR="003312FE">
        <w:rPr>
          <w:rFonts w:cs="Arial"/>
          <w:szCs w:val="24"/>
        </w:rPr>
        <w:t>directly employ Civil E</w:t>
      </w:r>
      <w:r>
        <w:rPr>
          <w:rFonts w:cs="Arial"/>
          <w:szCs w:val="24"/>
        </w:rPr>
        <w:t xml:space="preserve">nforcement </w:t>
      </w:r>
      <w:r w:rsidR="003312FE">
        <w:rPr>
          <w:rFonts w:cs="Arial"/>
          <w:szCs w:val="24"/>
        </w:rPr>
        <w:t>A</w:t>
      </w:r>
      <w:r>
        <w:rPr>
          <w:rFonts w:cs="Arial"/>
          <w:szCs w:val="24"/>
        </w:rPr>
        <w:t>gents (</w:t>
      </w:r>
      <w:r w:rsidR="003312FE">
        <w:rPr>
          <w:rFonts w:cs="Arial"/>
          <w:szCs w:val="24"/>
        </w:rPr>
        <w:t xml:space="preserve">formerly referred to as Bailiffs).  Instead, it </w:t>
      </w:r>
      <w:r w:rsidR="009009A9">
        <w:rPr>
          <w:rFonts w:cs="Arial"/>
          <w:szCs w:val="24"/>
        </w:rPr>
        <w:t xml:space="preserve">contracts </w:t>
      </w:r>
      <w:r>
        <w:rPr>
          <w:rFonts w:cs="Arial"/>
          <w:szCs w:val="24"/>
        </w:rPr>
        <w:t>commercial</w:t>
      </w:r>
      <w:r w:rsidR="003312FE">
        <w:rPr>
          <w:rFonts w:cs="Arial"/>
          <w:szCs w:val="24"/>
        </w:rPr>
        <w:t xml:space="preserve"> organisations to c</w:t>
      </w:r>
      <w:r>
        <w:rPr>
          <w:rFonts w:cs="Arial"/>
          <w:szCs w:val="24"/>
        </w:rPr>
        <w:t xml:space="preserve">arry out </w:t>
      </w:r>
      <w:r w:rsidR="003312FE">
        <w:rPr>
          <w:rFonts w:cs="Arial"/>
          <w:szCs w:val="24"/>
        </w:rPr>
        <w:t xml:space="preserve">“in person” </w:t>
      </w:r>
      <w:r>
        <w:rPr>
          <w:rFonts w:cs="Arial"/>
          <w:szCs w:val="24"/>
        </w:rPr>
        <w:t xml:space="preserve">collections and </w:t>
      </w:r>
      <w:r w:rsidR="003312FE">
        <w:rPr>
          <w:rFonts w:cs="Arial"/>
          <w:szCs w:val="24"/>
        </w:rPr>
        <w:t xml:space="preserve">to “take control of goods” (i.e. remove them from </w:t>
      </w:r>
      <w:r w:rsidR="009009A9">
        <w:rPr>
          <w:rFonts w:cs="Arial"/>
          <w:szCs w:val="24"/>
        </w:rPr>
        <w:t xml:space="preserve">a debtor’s </w:t>
      </w:r>
      <w:r w:rsidR="003312FE">
        <w:rPr>
          <w:rFonts w:cs="Arial"/>
          <w:szCs w:val="24"/>
        </w:rPr>
        <w:t xml:space="preserve">premises) with a view to sale.  </w:t>
      </w:r>
      <w:r>
        <w:rPr>
          <w:rFonts w:cs="Arial"/>
          <w:szCs w:val="24"/>
        </w:rPr>
        <w:t xml:space="preserve">Without a </w:t>
      </w:r>
      <w:r w:rsidR="009009A9">
        <w:rPr>
          <w:rFonts w:cs="Arial"/>
          <w:szCs w:val="24"/>
        </w:rPr>
        <w:t xml:space="preserve">contractor </w:t>
      </w:r>
      <w:r w:rsidR="003312FE">
        <w:rPr>
          <w:rFonts w:cs="Arial"/>
          <w:szCs w:val="24"/>
        </w:rPr>
        <w:t xml:space="preserve">for that activity, </w:t>
      </w:r>
      <w:r>
        <w:rPr>
          <w:rFonts w:cs="Arial"/>
          <w:szCs w:val="24"/>
        </w:rPr>
        <w:t xml:space="preserve">the Council would be unable to </w:t>
      </w:r>
      <w:r w:rsidR="009009A9">
        <w:rPr>
          <w:rFonts w:cs="Arial"/>
          <w:szCs w:val="24"/>
        </w:rPr>
        <w:t xml:space="preserve">effectively process liability orders issued by the Magistrates Court and / or </w:t>
      </w:r>
      <w:r>
        <w:rPr>
          <w:rFonts w:cs="Arial"/>
          <w:szCs w:val="24"/>
        </w:rPr>
        <w:t xml:space="preserve">execute </w:t>
      </w:r>
      <w:r w:rsidR="009009A9">
        <w:rPr>
          <w:rFonts w:cs="Arial"/>
          <w:szCs w:val="24"/>
        </w:rPr>
        <w:t xml:space="preserve">arrest </w:t>
      </w:r>
      <w:r>
        <w:rPr>
          <w:rFonts w:cs="Arial"/>
          <w:szCs w:val="24"/>
        </w:rPr>
        <w:t>warrants / court orders</w:t>
      </w:r>
      <w:r w:rsidR="009009A9">
        <w:rPr>
          <w:rFonts w:cs="Arial"/>
          <w:szCs w:val="24"/>
        </w:rPr>
        <w:t xml:space="preserve">, </w:t>
      </w:r>
      <w:r>
        <w:rPr>
          <w:rFonts w:cs="Arial"/>
          <w:szCs w:val="24"/>
        </w:rPr>
        <w:t>resulting in either loss of income or a</w:t>
      </w:r>
      <w:r w:rsidR="009009A9">
        <w:rPr>
          <w:rFonts w:cs="Arial"/>
          <w:szCs w:val="24"/>
        </w:rPr>
        <w:t xml:space="preserve">n extended </w:t>
      </w:r>
      <w:r>
        <w:rPr>
          <w:rFonts w:cs="Arial"/>
          <w:szCs w:val="24"/>
        </w:rPr>
        <w:t xml:space="preserve">period </w:t>
      </w:r>
      <w:r w:rsidR="009009A9">
        <w:rPr>
          <w:rFonts w:cs="Arial"/>
          <w:szCs w:val="24"/>
        </w:rPr>
        <w:t xml:space="preserve">before outstanding monies were </w:t>
      </w:r>
      <w:r>
        <w:rPr>
          <w:rFonts w:cs="Arial"/>
          <w:szCs w:val="24"/>
        </w:rPr>
        <w:t xml:space="preserve">recovered. </w:t>
      </w:r>
      <w:r w:rsidR="003312FE">
        <w:rPr>
          <w:rFonts w:cs="Arial"/>
          <w:szCs w:val="24"/>
        </w:rPr>
        <w:t xml:space="preserve">The procurement of an external partner(s) for the services concerned, will facilitate the maximisation of </w:t>
      </w:r>
      <w:r>
        <w:rPr>
          <w:rFonts w:cs="Arial"/>
          <w:szCs w:val="24"/>
        </w:rPr>
        <w:t>income collection</w:t>
      </w:r>
      <w:r w:rsidR="003312FE">
        <w:rPr>
          <w:rFonts w:cs="Arial"/>
          <w:szCs w:val="24"/>
        </w:rPr>
        <w:t xml:space="preserve">.  </w:t>
      </w:r>
    </w:p>
    <w:p w14:paraId="7E11395A" w14:textId="77777777" w:rsidR="00B832E0" w:rsidRDefault="00B832E0" w:rsidP="00B832E0">
      <w:pPr>
        <w:ind w:left="709" w:right="222"/>
        <w:jc w:val="both"/>
        <w:rPr>
          <w:rFonts w:cs="Arial"/>
          <w:szCs w:val="24"/>
        </w:rPr>
      </w:pPr>
    </w:p>
    <w:p w14:paraId="75D21B44" w14:textId="3D21700E" w:rsidR="0043206D" w:rsidRDefault="0043206D" w:rsidP="00B832E0">
      <w:pPr>
        <w:tabs>
          <w:tab w:val="left" w:pos="8309"/>
        </w:tabs>
        <w:ind w:right="-55"/>
        <w:jc w:val="both"/>
        <w:rPr>
          <w:rFonts w:cs="Arial"/>
          <w:szCs w:val="24"/>
        </w:rPr>
      </w:pPr>
      <w:r>
        <w:rPr>
          <w:rFonts w:cs="Arial"/>
          <w:szCs w:val="24"/>
        </w:rPr>
        <w:t xml:space="preserve">The existing agreements for Civil Enforcement Agent services </w:t>
      </w:r>
      <w:r w:rsidR="00B832E0">
        <w:rPr>
          <w:rFonts w:cs="Arial"/>
          <w:szCs w:val="24"/>
        </w:rPr>
        <w:t>expire on 7</w:t>
      </w:r>
      <w:r w:rsidR="00B832E0" w:rsidRPr="00B832E0">
        <w:rPr>
          <w:rFonts w:cs="Arial"/>
          <w:szCs w:val="24"/>
          <w:vertAlign w:val="superscript"/>
        </w:rPr>
        <w:t>th</w:t>
      </w:r>
      <w:r w:rsidR="00B832E0">
        <w:rPr>
          <w:rFonts w:cs="Arial"/>
          <w:szCs w:val="24"/>
        </w:rPr>
        <w:t xml:space="preserve"> November 2022. As </w:t>
      </w:r>
      <w:r>
        <w:rPr>
          <w:rFonts w:cs="Arial"/>
          <w:szCs w:val="24"/>
        </w:rPr>
        <w:t xml:space="preserve">the current </w:t>
      </w:r>
      <w:r w:rsidR="00B832E0">
        <w:rPr>
          <w:rFonts w:cs="Arial"/>
          <w:szCs w:val="24"/>
        </w:rPr>
        <w:t xml:space="preserve">contractors collect in </w:t>
      </w:r>
      <w:r w:rsidR="003F42FD" w:rsidRPr="003F42FD">
        <w:rPr>
          <w:rFonts w:cs="Arial"/>
          <w:szCs w:val="24"/>
        </w:rPr>
        <w:t xml:space="preserve">approximately </w:t>
      </w:r>
      <w:r w:rsidR="00B832E0" w:rsidRPr="003F42FD">
        <w:rPr>
          <w:rFonts w:cs="Arial"/>
          <w:szCs w:val="24"/>
        </w:rPr>
        <w:t>£5</w:t>
      </w:r>
      <w:r w:rsidR="00B375FF">
        <w:rPr>
          <w:rFonts w:cs="Arial"/>
          <w:szCs w:val="24"/>
        </w:rPr>
        <w:t>m</w:t>
      </w:r>
      <w:r w:rsidR="003F42FD" w:rsidRPr="003F42FD">
        <w:rPr>
          <w:rFonts w:cs="Arial"/>
          <w:szCs w:val="24"/>
        </w:rPr>
        <w:t xml:space="preserve"> per annum</w:t>
      </w:r>
      <w:r w:rsidR="009248DE">
        <w:rPr>
          <w:rFonts w:cs="Arial"/>
          <w:szCs w:val="24"/>
        </w:rPr>
        <w:t xml:space="preserve"> at zero cost to Harrow Council but a</w:t>
      </w:r>
      <w:r w:rsidR="006175F5">
        <w:rPr>
          <w:rFonts w:cs="Arial"/>
          <w:szCs w:val="24"/>
        </w:rPr>
        <w:t>t a £1m</w:t>
      </w:r>
      <w:r w:rsidR="005E2C9C">
        <w:rPr>
          <w:rFonts w:cs="Arial"/>
          <w:szCs w:val="24"/>
        </w:rPr>
        <w:t xml:space="preserve"> </w:t>
      </w:r>
      <w:r w:rsidR="006175F5">
        <w:rPr>
          <w:rFonts w:cs="Arial"/>
          <w:szCs w:val="24"/>
        </w:rPr>
        <w:t>-</w:t>
      </w:r>
      <w:r w:rsidR="005E2C9C">
        <w:rPr>
          <w:rFonts w:cs="Arial"/>
          <w:szCs w:val="24"/>
        </w:rPr>
        <w:t xml:space="preserve"> </w:t>
      </w:r>
      <w:r w:rsidR="006175F5">
        <w:rPr>
          <w:rFonts w:cs="Arial"/>
          <w:szCs w:val="24"/>
        </w:rPr>
        <w:t>£1.2m cost via retained fees</w:t>
      </w:r>
      <w:r w:rsidR="005E2C9C">
        <w:rPr>
          <w:rFonts w:cs="Arial"/>
          <w:szCs w:val="24"/>
        </w:rPr>
        <w:t xml:space="preserve"> collected from debtors</w:t>
      </w:r>
      <w:r w:rsidR="003F42FD" w:rsidRPr="003F42FD">
        <w:rPr>
          <w:rFonts w:cs="Arial"/>
          <w:szCs w:val="24"/>
        </w:rPr>
        <w:t xml:space="preserve">, </w:t>
      </w:r>
      <w:r w:rsidR="00B832E0" w:rsidRPr="003F42FD">
        <w:rPr>
          <w:rFonts w:cs="Arial"/>
          <w:szCs w:val="24"/>
        </w:rPr>
        <w:t xml:space="preserve">it </w:t>
      </w:r>
      <w:r w:rsidR="00B832E0">
        <w:rPr>
          <w:rFonts w:cs="Arial"/>
          <w:szCs w:val="24"/>
        </w:rPr>
        <w:t xml:space="preserve">is </w:t>
      </w:r>
      <w:r>
        <w:rPr>
          <w:rFonts w:cs="Arial"/>
          <w:szCs w:val="24"/>
        </w:rPr>
        <w:t xml:space="preserve">essential </w:t>
      </w:r>
      <w:r w:rsidR="00B832E0">
        <w:rPr>
          <w:rFonts w:cs="Arial"/>
          <w:szCs w:val="24"/>
        </w:rPr>
        <w:t xml:space="preserve">that </w:t>
      </w:r>
      <w:r>
        <w:rPr>
          <w:rFonts w:cs="Arial"/>
          <w:szCs w:val="24"/>
        </w:rPr>
        <w:t xml:space="preserve">Harrow ensures the seamless provision of the services </w:t>
      </w:r>
      <w:r w:rsidR="00B832E0">
        <w:rPr>
          <w:rFonts w:cs="Arial"/>
          <w:szCs w:val="24"/>
        </w:rPr>
        <w:t xml:space="preserve">to maximise income collection and minimise </w:t>
      </w:r>
      <w:r w:rsidR="009009A9">
        <w:rPr>
          <w:rFonts w:cs="Arial"/>
          <w:szCs w:val="24"/>
        </w:rPr>
        <w:t xml:space="preserve">the </w:t>
      </w:r>
      <w:r>
        <w:rPr>
          <w:rFonts w:cs="Arial"/>
          <w:szCs w:val="24"/>
        </w:rPr>
        <w:t xml:space="preserve">financial </w:t>
      </w:r>
      <w:r w:rsidR="00B832E0">
        <w:rPr>
          <w:rFonts w:cs="Arial"/>
          <w:szCs w:val="24"/>
        </w:rPr>
        <w:t xml:space="preserve">risk </w:t>
      </w:r>
      <w:r>
        <w:rPr>
          <w:rFonts w:cs="Arial"/>
          <w:szCs w:val="24"/>
        </w:rPr>
        <w:t xml:space="preserve">exposure that might otherwise occur.  </w:t>
      </w:r>
    </w:p>
    <w:p w14:paraId="186CFD5C" w14:textId="77777777" w:rsidR="0043206D" w:rsidRDefault="0043206D" w:rsidP="00B832E0">
      <w:pPr>
        <w:tabs>
          <w:tab w:val="left" w:pos="8309"/>
        </w:tabs>
        <w:ind w:right="-55"/>
        <w:jc w:val="both"/>
        <w:rPr>
          <w:rFonts w:cs="Arial"/>
          <w:szCs w:val="24"/>
        </w:rPr>
      </w:pPr>
    </w:p>
    <w:p w14:paraId="28407D6D" w14:textId="77777777" w:rsidR="0043206D" w:rsidRDefault="00B832E0" w:rsidP="00B832E0">
      <w:pPr>
        <w:tabs>
          <w:tab w:val="left" w:pos="8309"/>
        </w:tabs>
        <w:ind w:right="-55"/>
        <w:jc w:val="both"/>
        <w:rPr>
          <w:rFonts w:cs="Arial"/>
          <w:szCs w:val="24"/>
        </w:rPr>
      </w:pPr>
      <w:r>
        <w:rPr>
          <w:rFonts w:cs="Arial"/>
          <w:szCs w:val="24"/>
        </w:rPr>
        <w:t>Historically</w:t>
      </w:r>
      <w:r w:rsidR="0043206D">
        <w:rPr>
          <w:rFonts w:cs="Arial"/>
          <w:szCs w:val="24"/>
        </w:rPr>
        <w:t>,</w:t>
      </w:r>
      <w:r>
        <w:rPr>
          <w:rFonts w:cs="Arial"/>
          <w:szCs w:val="24"/>
        </w:rPr>
        <w:t xml:space="preserve"> two </w:t>
      </w:r>
      <w:r w:rsidR="0043206D">
        <w:rPr>
          <w:rFonts w:cs="Arial"/>
          <w:szCs w:val="24"/>
        </w:rPr>
        <w:t xml:space="preserve">organisations </w:t>
      </w:r>
      <w:r>
        <w:rPr>
          <w:rFonts w:cs="Arial"/>
          <w:szCs w:val="24"/>
        </w:rPr>
        <w:t xml:space="preserve">have been </w:t>
      </w:r>
      <w:r w:rsidR="004517F3">
        <w:rPr>
          <w:rFonts w:cs="Arial"/>
          <w:szCs w:val="24"/>
        </w:rPr>
        <w:t xml:space="preserve">contracted </w:t>
      </w:r>
      <w:r w:rsidR="0043206D">
        <w:rPr>
          <w:rFonts w:cs="Arial"/>
          <w:szCs w:val="24"/>
        </w:rPr>
        <w:t xml:space="preserve">to deliver the services in scope </w:t>
      </w:r>
      <w:r>
        <w:rPr>
          <w:rFonts w:cs="Arial"/>
          <w:szCs w:val="24"/>
        </w:rPr>
        <w:t xml:space="preserve">and this report recommends </w:t>
      </w:r>
      <w:r w:rsidR="0043206D">
        <w:rPr>
          <w:rFonts w:cs="Arial"/>
          <w:szCs w:val="24"/>
        </w:rPr>
        <w:t>that this be maintained</w:t>
      </w:r>
      <w:r w:rsidR="009009A9">
        <w:rPr>
          <w:rFonts w:cs="Arial"/>
          <w:szCs w:val="24"/>
        </w:rPr>
        <w:t xml:space="preserve"> </w:t>
      </w:r>
      <w:r w:rsidR="0043206D">
        <w:rPr>
          <w:rFonts w:cs="Arial"/>
          <w:szCs w:val="24"/>
        </w:rPr>
        <w:t>by seeking a procurement for up to two suppliers.</w:t>
      </w:r>
    </w:p>
    <w:p w14:paraId="4D18919E" w14:textId="77777777" w:rsidR="0043206D" w:rsidRDefault="0043206D" w:rsidP="00B832E0">
      <w:pPr>
        <w:tabs>
          <w:tab w:val="left" w:pos="8309"/>
        </w:tabs>
        <w:ind w:right="-55"/>
        <w:jc w:val="both"/>
        <w:rPr>
          <w:rFonts w:cs="Arial"/>
          <w:szCs w:val="24"/>
        </w:rPr>
      </w:pPr>
    </w:p>
    <w:p w14:paraId="42973E21" w14:textId="77777777" w:rsidR="00B832E0" w:rsidRDefault="00B832E0" w:rsidP="00B832E0">
      <w:pPr>
        <w:tabs>
          <w:tab w:val="left" w:pos="8309"/>
        </w:tabs>
        <w:ind w:right="-55"/>
        <w:jc w:val="both"/>
        <w:rPr>
          <w:rFonts w:cs="Arial"/>
          <w:szCs w:val="24"/>
        </w:rPr>
      </w:pPr>
      <w:r>
        <w:rPr>
          <w:rFonts w:cs="Arial"/>
          <w:szCs w:val="24"/>
        </w:rPr>
        <w:t xml:space="preserve">There are significant benefits in </w:t>
      </w:r>
      <w:r w:rsidR="0043206D">
        <w:rPr>
          <w:rFonts w:cs="Arial"/>
          <w:szCs w:val="24"/>
        </w:rPr>
        <w:t xml:space="preserve">seeking to procure </w:t>
      </w:r>
      <w:r w:rsidR="00271A18">
        <w:rPr>
          <w:rFonts w:cs="Arial"/>
          <w:szCs w:val="24"/>
        </w:rPr>
        <w:t xml:space="preserve">up to </w:t>
      </w:r>
      <w:r>
        <w:rPr>
          <w:rFonts w:cs="Arial"/>
          <w:szCs w:val="24"/>
        </w:rPr>
        <w:t xml:space="preserve">two </w:t>
      </w:r>
      <w:r w:rsidR="0043206D">
        <w:rPr>
          <w:rFonts w:cs="Arial"/>
          <w:szCs w:val="24"/>
        </w:rPr>
        <w:t xml:space="preserve">organisations </w:t>
      </w:r>
      <w:r>
        <w:rPr>
          <w:rFonts w:cs="Arial"/>
          <w:szCs w:val="24"/>
        </w:rPr>
        <w:t xml:space="preserve">to deliver </w:t>
      </w:r>
      <w:r w:rsidR="0043206D">
        <w:rPr>
          <w:rFonts w:cs="Arial"/>
          <w:szCs w:val="24"/>
        </w:rPr>
        <w:t xml:space="preserve">the services concerned </w:t>
      </w:r>
      <w:r w:rsidR="00271A18">
        <w:rPr>
          <w:rFonts w:cs="Arial"/>
          <w:szCs w:val="24"/>
        </w:rPr>
        <w:t xml:space="preserve">particularly </w:t>
      </w:r>
      <w:r w:rsidR="0043206D">
        <w:rPr>
          <w:rFonts w:cs="Arial"/>
          <w:szCs w:val="24"/>
        </w:rPr>
        <w:t xml:space="preserve">in terms of increased capacity and resilience, </w:t>
      </w:r>
      <w:r>
        <w:rPr>
          <w:rFonts w:cs="Arial"/>
          <w:szCs w:val="24"/>
        </w:rPr>
        <w:t>performance</w:t>
      </w:r>
      <w:r w:rsidR="0043206D">
        <w:rPr>
          <w:rFonts w:cs="Arial"/>
          <w:szCs w:val="24"/>
        </w:rPr>
        <w:t xml:space="preserve"> comparison, quality and </w:t>
      </w:r>
      <w:r>
        <w:rPr>
          <w:rFonts w:cs="Arial"/>
          <w:szCs w:val="24"/>
        </w:rPr>
        <w:t>competit</w:t>
      </w:r>
      <w:r w:rsidR="0043206D">
        <w:rPr>
          <w:rFonts w:cs="Arial"/>
          <w:szCs w:val="24"/>
        </w:rPr>
        <w:t>iveness</w:t>
      </w:r>
      <w:r>
        <w:rPr>
          <w:rFonts w:cs="Arial"/>
          <w:szCs w:val="24"/>
        </w:rPr>
        <w:t>.</w:t>
      </w:r>
    </w:p>
    <w:p w14:paraId="3F3748C3" w14:textId="77777777" w:rsidR="00B832E0" w:rsidRDefault="00B832E0" w:rsidP="00B832E0">
      <w:pPr>
        <w:tabs>
          <w:tab w:val="left" w:pos="8309"/>
        </w:tabs>
        <w:ind w:left="709" w:right="-55"/>
        <w:jc w:val="both"/>
        <w:rPr>
          <w:rFonts w:cs="Arial"/>
          <w:szCs w:val="24"/>
        </w:rPr>
      </w:pPr>
    </w:p>
    <w:p w14:paraId="46EF3356" w14:textId="77777777" w:rsidR="00137224" w:rsidRDefault="00B832E0" w:rsidP="00B832E0">
      <w:pPr>
        <w:jc w:val="both"/>
        <w:rPr>
          <w:rFonts w:cs="Arial"/>
          <w:szCs w:val="24"/>
          <w:lang w:val="en-US"/>
        </w:rPr>
      </w:pPr>
      <w:r>
        <w:rPr>
          <w:rFonts w:cs="Arial"/>
          <w:szCs w:val="24"/>
          <w:lang w:val="en-US"/>
        </w:rPr>
        <w:t xml:space="preserve">The </w:t>
      </w:r>
      <w:r w:rsidR="0043206D">
        <w:rPr>
          <w:rFonts w:cs="Arial"/>
          <w:szCs w:val="24"/>
          <w:lang w:val="en-US"/>
        </w:rPr>
        <w:t xml:space="preserve">core service in scope is </w:t>
      </w:r>
      <w:r>
        <w:rPr>
          <w:rFonts w:cs="Arial"/>
          <w:szCs w:val="24"/>
          <w:lang w:val="en-US"/>
        </w:rPr>
        <w:t xml:space="preserve">expected to be </w:t>
      </w:r>
      <w:r w:rsidR="0043206D">
        <w:rPr>
          <w:rFonts w:cs="Arial"/>
          <w:szCs w:val="24"/>
          <w:lang w:val="en-US"/>
        </w:rPr>
        <w:t xml:space="preserve">provided </w:t>
      </w:r>
      <w:r>
        <w:rPr>
          <w:rFonts w:cs="Arial"/>
          <w:szCs w:val="24"/>
          <w:lang w:val="en-US"/>
        </w:rPr>
        <w:t>free of charge to Harrow Council</w:t>
      </w:r>
      <w:r w:rsidR="0043206D">
        <w:rPr>
          <w:rFonts w:cs="Arial"/>
          <w:szCs w:val="24"/>
          <w:lang w:val="en-US"/>
        </w:rPr>
        <w:t xml:space="preserve">.  </w:t>
      </w:r>
      <w:r>
        <w:rPr>
          <w:rFonts w:cs="Arial"/>
          <w:szCs w:val="24"/>
          <w:lang w:val="en-US"/>
        </w:rPr>
        <w:t xml:space="preserve">This is because </w:t>
      </w:r>
      <w:r w:rsidR="0043206D">
        <w:rPr>
          <w:rFonts w:cs="Arial"/>
          <w:szCs w:val="24"/>
          <w:lang w:val="en-US"/>
        </w:rPr>
        <w:t>Civil En</w:t>
      </w:r>
      <w:r>
        <w:rPr>
          <w:rFonts w:cs="Arial"/>
          <w:szCs w:val="24"/>
          <w:lang w:val="en-US"/>
        </w:rPr>
        <w:t xml:space="preserve">forcement </w:t>
      </w:r>
      <w:r w:rsidR="0043206D">
        <w:rPr>
          <w:rFonts w:cs="Arial"/>
          <w:szCs w:val="24"/>
          <w:lang w:val="en-US"/>
        </w:rPr>
        <w:t>A</w:t>
      </w:r>
      <w:r>
        <w:rPr>
          <w:rFonts w:cs="Arial"/>
          <w:szCs w:val="24"/>
          <w:lang w:val="en-US"/>
        </w:rPr>
        <w:t>gent</w:t>
      </w:r>
      <w:r w:rsidR="0043206D">
        <w:rPr>
          <w:rFonts w:cs="Arial"/>
          <w:szCs w:val="24"/>
          <w:lang w:val="en-US"/>
        </w:rPr>
        <w:t xml:space="preserve"> fees are generally regulated for Council Tax, Business Rates and Parking Control Notices (PCN’s) and payable </w:t>
      </w:r>
      <w:r w:rsidR="00F74423">
        <w:rPr>
          <w:rFonts w:cs="Arial"/>
          <w:szCs w:val="24"/>
          <w:lang w:val="en-US"/>
        </w:rPr>
        <w:t xml:space="preserve">by </w:t>
      </w:r>
      <w:r>
        <w:rPr>
          <w:rFonts w:cs="Arial"/>
          <w:szCs w:val="24"/>
          <w:lang w:val="en-US"/>
        </w:rPr>
        <w:t xml:space="preserve">debtors. Where </w:t>
      </w:r>
      <w:r w:rsidR="00F74423">
        <w:rPr>
          <w:rFonts w:cs="Arial"/>
          <w:szCs w:val="24"/>
          <w:lang w:val="en-US"/>
        </w:rPr>
        <w:t xml:space="preserve">fees are not regulated or chargeable to a debtor, </w:t>
      </w:r>
      <w:r>
        <w:rPr>
          <w:rFonts w:cs="Arial"/>
          <w:szCs w:val="24"/>
          <w:lang w:val="en-US"/>
        </w:rPr>
        <w:t xml:space="preserve">it is anticipated that contractors will </w:t>
      </w:r>
      <w:r w:rsidRPr="00F74423">
        <w:rPr>
          <w:rFonts w:cs="Arial"/>
          <w:szCs w:val="24"/>
          <w:lang w:val="en-US"/>
        </w:rPr>
        <w:t>set out in their tender</w:t>
      </w:r>
      <w:r w:rsidR="009009A9">
        <w:rPr>
          <w:rFonts w:cs="Arial"/>
          <w:szCs w:val="24"/>
          <w:lang w:val="en-US"/>
        </w:rPr>
        <w:t xml:space="preserve"> submissions, </w:t>
      </w:r>
      <w:r w:rsidRPr="00F74423">
        <w:rPr>
          <w:rFonts w:cs="Arial"/>
          <w:szCs w:val="24"/>
          <w:lang w:val="en-US"/>
        </w:rPr>
        <w:t>the cost to the local authority. In th</w:t>
      </w:r>
      <w:r w:rsidR="00F74423" w:rsidRPr="00F74423">
        <w:rPr>
          <w:rFonts w:cs="Arial"/>
          <w:szCs w:val="24"/>
          <w:lang w:val="en-US"/>
        </w:rPr>
        <w:t xml:space="preserve">at </w:t>
      </w:r>
      <w:r w:rsidRPr="00F74423">
        <w:rPr>
          <w:rFonts w:cs="Arial"/>
          <w:szCs w:val="24"/>
          <w:lang w:val="en-US"/>
        </w:rPr>
        <w:t xml:space="preserve">scenario, the cost will be </w:t>
      </w:r>
      <w:r w:rsidR="00F74423" w:rsidRPr="00F74423">
        <w:rPr>
          <w:rFonts w:cs="Arial"/>
          <w:szCs w:val="24"/>
          <w:lang w:val="en-US"/>
        </w:rPr>
        <w:t xml:space="preserve">chargeable to </w:t>
      </w:r>
      <w:r w:rsidR="00137224">
        <w:rPr>
          <w:rFonts w:cs="Arial"/>
          <w:szCs w:val="24"/>
          <w:lang w:val="en-US"/>
        </w:rPr>
        <w:t xml:space="preserve">and met from within </w:t>
      </w:r>
      <w:r w:rsidRPr="00F74423">
        <w:rPr>
          <w:rFonts w:cs="Arial"/>
          <w:szCs w:val="24"/>
          <w:lang w:val="en-US"/>
        </w:rPr>
        <w:t xml:space="preserve">existing </w:t>
      </w:r>
      <w:r w:rsidR="009009A9">
        <w:rPr>
          <w:rFonts w:cs="Arial"/>
          <w:szCs w:val="24"/>
          <w:lang w:val="en-US"/>
        </w:rPr>
        <w:t xml:space="preserve">service </w:t>
      </w:r>
      <w:r w:rsidRPr="00F74423">
        <w:rPr>
          <w:rFonts w:cs="Arial"/>
          <w:szCs w:val="24"/>
          <w:lang w:val="en-US"/>
        </w:rPr>
        <w:t xml:space="preserve">revenue budgets </w:t>
      </w:r>
      <w:r w:rsidR="00F74423" w:rsidRPr="00F74423">
        <w:rPr>
          <w:rFonts w:cs="Arial"/>
          <w:szCs w:val="24"/>
          <w:lang w:val="en-US"/>
        </w:rPr>
        <w:t xml:space="preserve">for which </w:t>
      </w:r>
      <w:r w:rsidR="009009A9">
        <w:rPr>
          <w:rFonts w:cs="Arial"/>
          <w:szCs w:val="24"/>
          <w:lang w:val="en-US"/>
        </w:rPr>
        <w:t xml:space="preserve">financial </w:t>
      </w:r>
      <w:r w:rsidRPr="00F74423">
        <w:rPr>
          <w:rFonts w:cs="Arial"/>
          <w:szCs w:val="24"/>
          <w:lang w:val="en-US"/>
        </w:rPr>
        <w:t>provision already exists</w:t>
      </w:r>
      <w:r w:rsidR="00137224">
        <w:rPr>
          <w:rFonts w:cs="Arial"/>
          <w:szCs w:val="24"/>
          <w:lang w:val="en-US"/>
        </w:rPr>
        <w:t>.</w:t>
      </w:r>
    </w:p>
    <w:p w14:paraId="6191438E" w14:textId="77777777" w:rsidR="0063521A" w:rsidRDefault="0063521A" w:rsidP="0063521A">
      <w:pPr>
        <w:pStyle w:val="Heading3"/>
        <w:spacing w:before="240"/>
        <w:ind w:left="0" w:firstLine="0"/>
        <w:jc w:val="left"/>
      </w:pPr>
      <w:r>
        <w:t xml:space="preserve">Options considered  </w:t>
      </w:r>
    </w:p>
    <w:p w14:paraId="1CD98C35" w14:textId="77777777" w:rsidR="0063521A" w:rsidRDefault="0063521A" w:rsidP="0063521A">
      <w:pPr>
        <w:rPr>
          <w:b/>
          <w:color w:val="FF0000"/>
        </w:rPr>
      </w:pPr>
    </w:p>
    <w:p w14:paraId="60E49D20" w14:textId="77777777" w:rsidR="00B832E0" w:rsidRDefault="00B832E0" w:rsidP="00B832E0">
      <w:pPr>
        <w:jc w:val="both"/>
        <w:rPr>
          <w:lang w:val="en"/>
        </w:rPr>
      </w:pPr>
      <w:r>
        <w:rPr>
          <w:lang w:val="en"/>
        </w:rPr>
        <w:t xml:space="preserve">The option of not appointing a </w:t>
      </w:r>
      <w:r w:rsidR="00834A32">
        <w:rPr>
          <w:lang w:val="en"/>
        </w:rPr>
        <w:t>C</w:t>
      </w:r>
      <w:r>
        <w:rPr>
          <w:lang w:val="en"/>
        </w:rPr>
        <w:t xml:space="preserve">ontractor </w:t>
      </w:r>
      <w:r w:rsidR="00834A32">
        <w:rPr>
          <w:lang w:val="en"/>
        </w:rPr>
        <w:t xml:space="preserve">to deliver the service has been </w:t>
      </w:r>
      <w:r>
        <w:rPr>
          <w:lang w:val="en"/>
        </w:rPr>
        <w:t xml:space="preserve">considered but dismissed. This </w:t>
      </w:r>
      <w:r w:rsidR="00834A32">
        <w:rPr>
          <w:lang w:val="en"/>
        </w:rPr>
        <w:t xml:space="preserve">is </w:t>
      </w:r>
      <w:r>
        <w:rPr>
          <w:lang w:val="en"/>
        </w:rPr>
        <w:t>because not collecting a sizeable p</w:t>
      </w:r>
      <w:r w:rsidR="00834A32">
        <w:rPr>
          <w:lang w:val="en"/>
        </w:rPr>
        <w:t xml:space="preserve">roportion of </w:t>
      </w:r>
      <w:r>
        <w:rPr>
          <w:lang w:val="en"/>
        </w:rPr>
        <w:t>annual income without the support of enforcement agents</w:t>
      </w:r>
      <w:r w:rsidR="00834A32">
        <w:rPr>
          <w:lang w:val="en"/>
        </w:rPr>
        <w:t>, would give rise to a potentially unacceptable level of financial risk exposure.  Additionally, for some Council debts, the process of taking control of goods via a Civil Enforcement Agent, is a mandatory precursor to any subsequent enforcement activity</w:t>
      </w:r>
      <w:r>
        <w:rPr>
          <w:lang w:val="en"/>
        </w:rPr>
        <w:t>.</w:t>
      </w:r>
      <w:r w:rsidR="00834A32">
        <w:rPr>
          <w:lang w:val="en"/>
        </w:rPr>
        <w:t xml:space="preserve">  Consequently, not appointing a Contractor, may prejudice future enforcement activity in some instances.</w:t>
      </w:r>
    </w:p>
    <w:p w14:paraId="3D6CC697" w14:textId="77777777" w:rsidR="00B832E0" w:rsidRDefault="00B832E0" w:rsidP="00B832E0">
      <w:pPr>
        <w:jc w:val="both"/>
        <w:rPr>
          <w:lang w:val="en"/>
        </w:rPr>
      </w:pPr>
    </w:p>
    <w:p w14:paraId="110B7343" w14:textId="07B2C06E" w:rsidR="00B832E0" w:rsidRDefault="002D4910" w:rsidP="00B832E0">
      <w:pPr>
        <w:jc w:val="both"/>
        <w:rPr>
          <w:lang w:val="en"/>
        </w:rPr>
      </w:pPr>
      <w:r>
        <w:rPr>
          <w:lang w:val="en"/>
        </w:rPr>
        <w:t xml:space="preserve">The </w:t>
      </w:r>
      <w:r w:rsidR="00834A32">
        <w:rPr>
          <w:lang w:val="en"/>
        </w:rPr>
        <w:t xml:space="preserve">establishing </w:t>
      </w:r>
      <w:r w:rsidR="00B91700">
        <w:rPr>
          <w:lang w:val="en"/>
        </w:rPr>
        <w:t xml:space="preserve">of </w:t>
      </w:r>
      <w:r w:rsidR="00B832E0">
        <w:rPr>
          <w:lang w:val="en"/>
        </w:rPr>
        <w:t xml:space="preserve">an in-house service </w:t>
      </w:r>
      <w:r w:rsidR="00834A32">
        <w:rPr>
          <w:lang w:val="en"/>
        </w:rPr>
        <w:t>has been considered but dismissed, as t</w:t>
      </w:r>
      <w:r w:rsidR="00B832E0">
        <w:rPr>
          <w:lang w:val="en"/>
        </w:rPr>
        <w:t>he set</w:t>
      </w:r>
      <w:r w:rsidR="00834A32">
        <w:rPr>
          <w:lang w:val="en"/>
        </w:rPr>
        <w:t>-</w:t>
      </w:r>
      <w:r w:rsidR="00B832E0">
        <w:rPr>
          <w:lang w:val="en"/>
        </w:rPr>
        <w:t xml:space="preserve">up costs </w:t>
      </w:r>
      <w:r w:rsidR="00834A32">
        <w:rPr>
          <w:lang w:val="en"/>
        </w:rPr>
        <w:t xml:space="preserve">required to establish and deliver the services </w:t>
      </w:r>
      <w:r w:rsidR="009009A9">
        <w:rPr>
          <w:lang w:val="en"/>
        </w:rPr>
        <w:t>together with the risks inherent in undertaking such work, w</w:t>
      </w:r>
      <w:r w:rsidR="00834A32">
        <w:rPr>
          <w:lang w:val="en"/>
        </w:rPr>
        <w:t xml:space="preserve">ould be significant </w:t>
      </w:r>
      <w:r w:rsidR="00B832E0">
        <w:rPr>
          <w:lang w:val="en"/>
        </w:rPr>
        <w:t xml:space="preserve">with no guarantee that the service </w:t>
      </w:r>
      <w:r w:rsidR="00834A32">
        <w:rPr>
          <w:lang w:val="en"/>
        </w:rPr>
        <w:t>c</w:t>
      </w:r>
      <w:r w:rsidR="00B832E0">
        <w:rPr>
          <w:lang w:val="en"/>
        </w:rPr>
        <w:t>ould become self-funding.</w:t>
      </w:r>
      <w:r w:rsidR="00834A32">
        <w:rPr>
          <w:lang w:val="en"/>
        </w:rPr>
        <w:t xml:space="preserve"> Additionally, there is insufficient time remaining before the c</w:t>
      </w:r>
      <w:r w:rsidR="009009A9">
        <w:rPr>
          <w:lang w:val="en"/>
        </w:rPr>
        <w:t xml:space="preserve">urrent </w:t>
      </w:r>
      <w:r w:rsidR="00B375FF">
        <w:rPr>
          <w:lang w:val="en"/>
        </w:rPr>
        <w:t>c</w:t>
      </w:r>
      <w:r w:rsidR="00834A32">
        <w:rPr>
          <w:lang w:val="en"/>
        </w:rPr>
        <w:t xml:space="preserve">ontract expiry date in which to establish and implement the necessary arrangements </w:t>
      </w:r>
      <w:r w:rsidR="004326C6">
        <w:rPr>
          <w:lang w:val="en"/>
        </w:rPr>
        <w:t xml:space="preserve">for achieving seamless service delivery.   </w:t>
      </w:r>
    </w:p>
    <w:p w14:paraId="7F519419" w14:textId="77777777" w:rsidR="00B832E0" w:rsidRDefault="00B832E0" w:rsidP="0063521A">
      <w:pPr>
        <w:rPr>
          <w:b/>
          <w:color w:val="FF0000"/>
        </w:rPr>
      </w:pPr>
    </w:p>
    <w:p w14:paraId="77AB7D36" w14:textId="77777777" w:rsidR="0063521A" w:rsidRDefault="0063521A" w:rsidP="0063521A">
      <w:pPr>
        <w:pStyle w:val="Heading2"/>
        <w:rPr>
          <w:rFonts w:ascii="Arial" w:hAnsi="Arial"/>
          <w:sz w:val="28"/>
          <w:szCs w:val="28"/>
        </w:rPr>
      </w:pPr>
      <w:r w:rsidRPr="009009A9">
        <w:rPr>
          <w:rFonts w:ascii="Arial" w:hAnsi="Arial"/>
          <w:sz w:val="28"/>
          <w:szCs w:val="28"/>
        </w:rPr>
        <w:t>Implications of the Recommendation</w:t>
      </w:r>
    </w:p>
    <w:p w14:paraId="08EF83D2" w14:textId="5C8BF411" w:rsidR="009009A9" w:rsidRDefault="009009A9" w:rsidP="009009A9"/>
    <w:p w14:paraId="001F1CE7" w14:textId="695874A5" w:rsidR="008E2ACE" w:rsidRPr="00743602" w:rsidRDefault="000661AE" w:rsidP="009009A9">
      <w:pPr>
        <w:rPr>
          <w:b/>
          <w:bCs/>
        </w:rPr>
      </w:pPr>
      <w:r w:rsidRPr="00743602">
        <w:rPr>
          <w:b/>
          <w:bCs/>
        </w:rPr>
        <w:t>Income collection policy &amp; dealing with vulnerable clients</w:t>
      </w:r>
    </w:p>
    <w:p w14:paraId="017FD4C8" w14:textId="480C67B8" w:rsidR="000661AE" w:rsidRDefault="000661AE" w:rsidP="003E483E">
      <w:pPr>
        <w:jc w:val="both"/>
      </w:pPr>
      <w:r>
        <w:t xml:space="preserve">It is worth noting that </w:t>
      </w:r>
      <w:r w:rsidR="003E483E">
        <w:t xml:space="preserve">the </w:t>
      </w:r>
      <w:r w:rsidR="00FB0CC2">
        <w:t xml:space="preserve">re-procuring </w:t>
      </w:r>
      <w:r w:rsidR="003E483E">
        <w:t xml:space="preserve">of </w:t>
      </w:r>
      <w:r w:rsidR="00FB0CC2">
        <w:t xml:space="preserve">Enforcement Agents will not impact on our existing policies regarding our processes and </w:t>
      </w:r>
      <w:r w:rsidR="00743602">
        <w:t xml:space="preserve">how we deal with both vulnerable and financially vulnerable clients. Harrow already has a vulnerability policy and </w:t>
      </w:r>
      <w:r w:rsidR="009B236A">
        <w:t>any specification issued to the market will make it clear that agents will need to adhere to Harrow’s policy. The specification will also insist on</w:t>
      </w:r>
      <w:r w:rsidR="00F8730E">
        <w:t xml:space="preserve"> potential service providers </w:t>
      </w:r>
      <w:r w:rsidR="00BE342C">
        <w:t>setting</w:t>
      </w:r>
      <w:r w:rsidR="00F8730E">
        <w:t xml:space="preserve"> out their processes </w:t>
      </w:r>
      <w:r w:rsidR="00BE342C">
        <w:t>on</w:t>
      </w:r>
      <w:r w:rsidR="00156C84">
        <w:t xml:space="preserve"> how</w:t>
      </w:r>
      <w:r w:rsidR="00BE342C">
        <w:t xml:space="preserve"> they</w:t>
      </w:r>
      <w:r w:rsidR="00F8730E">
        <w:t xml:space="preserve"> handle vulnerable </w:t>
      </w:r>
      <w:r w:rsidR="007603A7">
        <w:t>clients and</w:t>
      </w:r>
      <w:r w:rsidR="00B974C0">
        <w:t xml:space="preserve"> will insist on these being handled in a different way to general debtors. This will ensure we</w:t>
      </w:r>
      <w:r w:rsidR="005A19F7">
        <w:t xml:space="preserve"> sensitively handle such cases, allow more time for repayment and give advice on both budgeting and</w:t>
      </w:r>
      <w:r w:rsidR="001F6A37">
        <w:t xml:space="preserve"> on signposting so they may obtain extra support with benefits for example. In the current climate of high inflation, </w:t>
      </w:r>
      <w:r w:rsidR="007207CE">
        <w:t>procedures for handling and processing vulnerable clients will</w:t>
      </w:r>
      <w:r w:rsidR="00687143">
        <w:t xml:space="preserve"> carry high value in the scoring process as </w:t>
      </w:r>
      <w:r w:rsidR="00B30B90">
        <w:t>will be</w:t>
      </w:r>
      <w:r w:rsidR="00687143">
        <w:t xml:space="preserve"> reflected in the likely quality</w:t>
      </w:r>
      <w:r w:rsidR="00FA3942">
        <w:t xml:space="preserve"> to cost ratio which is expected to be 80:20.</w:t>
      </w:r>
    </w:p>
    <w:p w14:paraId="08749499" w14:textId="77777777" w:rsidR="000661AE" w:rsidRPr="009009A9" w:rsidRDefault="000661AE" w:rsidP="003E483E">
      <w:pPr>
        <w:jc w:val="both"/>
      </w:pPr>
    </w:p>
    <w:p w14:paraId="67A0C4DC" w14:textId="77777777" w:rsidR="00FD5CD6" w:rsidRPr="00497816" w:rsidRDefault="00FD5CD6" w:rsidP="0063521A">
      <w:pPr>
        <w:rPr>
          <w:b/>
          <w:bCs/>
          <w:szCs w:val="24"/>
        </w:rPr>
      </w:pPr>
      <w:r w:rsidRPr="00497816">
        <w:rPr>
          <w:b/>
          <w:bCs/>
          <w:szCs w:val="24"/>
        </w:rPr>
        <w:t>Resource</w:t>
      </w:r>
      <w:r w:rsidR="00497816" w:rsidRPr="00497816">
        <w:rPr>
          <w:b/>
          <w:bCs/>
          <w:szCs w:val="24"/>
        </w:rPr>
        <w:t>s, costs</w:t>
      </w:r>
    </w:p>
    <w:p w14:paraId="1DAD2742" w14:textId="11EB65B4" w:rsidR="00B00359" w:rsidRDefault="00497816" w:rsidP="00497816">
      <w:pPr>
        <w:pStyle w:val="Heading4"/>
        <w:jc w:val="both"/>
        <w:rPr>
          <w:b w:val="0"/>
          <w:szCs w:val="24"/>
        </w:rPr>
      </w:pPr>
      <w:r w:rsidRPr="00497816">
        <w:rPr>
          <w:b w:val="0"/>
          <w:szCs w:val="24"/>
        </w:rPr>
        <w:t>The cost of resourcing the project will be managed within existing service budgets</w:t>
      </w:r>
      <w:r w:rsidR="00B00359">
        <w:rPr>
          <w:b w:val="0"/>
          <w:szCs w:val="24"/>
        </w:rPr>
        <w:t>.</w:t>
      </w:r>
      <w:r w:rsidR="00677DD6">
        <w:rPr>
          <w:b w:val="0"/>
          <w:szCs w:val="24"/>
        </w:rPr>
        <w:t xml:space="preserve"> The project is likely to cost around £40k</w:t>
      </w:r>
      <w:r w:rsidR="002E666D">
        <w:rPr>
          <w:b w:val="0"/>
          <w:szCs w:val="24"/>
        </w:rPr>
        <w:t xml:space="preserve"> if taking staff costs / time into account</w:t>
      </w:r>
      <w:r w:rsidR="00543CA7">
        <w:rPr>
          <w:b w:val="0"/>
          <w:szCs w:val="24"/>
        </w:rPr>
        <w:t>.</w:t>
      </w:r>
    </w:p>
    <w:p w14:paraId="16C7C1B5" w14:textId="77777777" w:rsidR="00497816" w:rsidRPr="00497816" w:rsidRDefault="00497816" w:rsidP="00497816"/>
    <w:p w14:paraId="085EEF1C" w14:textId="77777777" w:rsidR="00497816" w:rsidRPr="00497816" w:rsidRDefault="00497816" w:rsidP="0063521A">
      <w:pPr>
        <w:pStyle w:val="Heading4"/>
        <w:rPr>
          <w:bCs/>
          <w:szCs w:val="24"/>
        </w:rPr>
      </w:pPr>
      <w:r w:rsidRPr="00497816">
        <w:rPr>
          <w:bCs/>
          <w:szCs w:val="24"/>
        </w:rPr>
        <w:t>Staffing / Workforce</w:t>
      </w:r>
    </w:p>
    <w:p w14:paraId="3D07BB0C" w14:textId="77777777" w:rsidR="00FD5CD6" w:rsidRPr="00497816" w:rsidRDefault="00FD5CD6" w:rsidP="00497816">
      <w:pPr>
        <w:pStyle w:val="Heading4"/>
        <w:jc w:val="both"/>
        <w:rPr>
          <w:b w:val="0"/>
          <w:szCs w:val="24"/>
        </w:rPr>
      </w:pPr>
      <w:r w:rsidRPr="00497816">
        <w:rPr>
          <w:b w:val="0"/>
          <w:szCs w:val="24"/>
        </w:rPr>
        <w:t xml:space="preserve">There are no anticipated implications upon Harrow staffing or its workforce arising from the recommendations within this report.  A project team to be comprised of subject matter experts and technical experts will be established </w:t>
      </w:r>
      <w:r w:rsidR="00497816">
        <w:rPr>
          <w:b w:val="0"/>
          <w:szCs w:val="24"/>
        </w:rPr>
        <w:t xml:space="preserve">however, </w:t>
      </w:r>
      <w:r w:rsidRPr="00497816">
        <w:rPr>
          <w:b w:val="0"/>
          <w:szCs w:val="24"/>
        </w:rPr>
        <w:t xml:space="preserve">to effectively manage </w:t>
      </w:r>
      <w:r w:rsidR="00497816">
        <w:rPr>
          <w:b w:val="0"/>
          <w:szCs w:val="24"/>
        </w:rPr>
        <w:t xml:space="preserve">and conclude </w:t>
      </w:r>
      <w:r w:rsidRPr="00497816">
        <w:rPr>
          <w:b w:val="0"/>
          <w:szCs w:val="24"/>
        </w:rPr>
        <w:t xml:space="preserve">the procurement process.  </w:t>
      </w:r>
    </w:p>
    <w:p w14:paraId="6C9F85D6" w14:textId="77777777" w:rsidR="0063521A" w:rsidRPr="00307F76" w:rsidRDefault="0063521A" w:rsidP="0063521A">
      <w:pPr>
        <w:rPr>
          <w:b/>
        </w:rPr>
      </w:pPr>
    </w:p>
    <w:p w14:paraId="3EDE51B6" w14:textId="77777777" w:rsidR="0063521A" w:rsidRPr="00497816" w:rsidRDefault="0063521A" w:rsidP="0063521A">
      <w:pPr>
        <w:pStyle w:val="Heading4"/>
        <w:tabs>
          <w:tab w:val="left" w:pos="3600"/>
        </w:tabs>
        <w:rPr>
          <w:szCs w:val="24"/>
        </w:rPr>
      </w:pPr>
      <w:r w:rsidRPr="00497816">
        <w:rPr>
          <w:szCs w:val="24"/>
        </w:rPr>
        <w:t>Performance Issues</w:t>
      </w:r>
    </w:p>
    <w:p w14:paraId="71F18D67" w14:textId="77777777" w:rsidR="00016563" w:rsidRDefault="0008143E" w:rsidP="0008143E">
      <w:pPr>
        <w:jc w:val="both"/>
        <w:rPr>
          <w:rFonts w:cs="Arial"/>
          <w:color w:val="000000"/>
        </w:rPr>
      </w:pPr>
      <w:r w:rsidRPr="000104C1">
        <w:rPr>
          <w:rFonts w:cs="Arial"/>
          <w:color w:val="000000"/>
        </w:rPr>
        <w:t>Th</w:t>
      </w:r>
      <w:r>
        <w:rPr>
          <w:rFonts w:cs="Arial"/>
          <w:color w:val="000000"/>
        </w:rPr>
        <w:t xml:space="preserve">is report seeks authority to procure Civil Enforcement Agents </w:t>
      </w:r>
      <w:r w:rsidRPr="000104C1">
        <w:rPr>
          <w:rFonts w:cs="Arial"/>
          <w:color w:val="000000"/>
        </w:rPr>
        <w:t>to support the Council with its Revenue collection functions</w:t>
      </w:r>
      <w:r w:rsidR="00016563">
        <w:rPr>
          <w:rFonts w:cs="Arial"/>
          <w:color w:val="000000"/>
        </w:rPr>
        <w:t xml:space="preserve">.  Procurement of the service concerned, </w:t>
      </w:r>
      <w:r w:rsidR="00B00359">
        <w:rPr>
          <w:rFonts w:cs="Arial"/>
          <w:color w:val="000000"/>
        </w:rPr>
        <w:t xml:space="preserve">will influence </w:t>
      </w:r>
      <w:r w:rsidR="00016563">
        <w:rPr>
          <w:rFonts w:cs="Arial"/>
          <w:color w:val="000000"/>
        </w:rPr>
        <w:t xml:space="preserve">cash </w:t>
      </w:r>
      <w:r w:rsidRPr="000104C1">
        <w:rPr>
          <w:rFonts w:cs="Arial"/>
          <w:color w:val="000000"/>
        </w:rPr>
        <w:t xml:space="preserve">collection </w:t>
      </w:r>
      <w:r w:rsidR="00016563">
        <w:rPr>
          <w:rFonts w:cs="Arial"/>
          <w:color w:val="000000"/>
        </w:rPr>
        <w:t xml:space="preserve">rates achieved for </w:t>
      </w:r>
      <w:r w:rsidRPr="000104C1">
        <w:rPr>
          <w:rFonts w:cs="Arial"/>
          <w:color w:val="000000"/>
        </w:rPr>
        <w:t>Business Rates</w:t>
      </w:r>
      <w:r>
        <w:rPr>
          <w:rFonts w:cs="Arial"/>
          <w:color w:val="000000"/>
        </w:rPr>
        <w:t>, Council Tax and PCN’s</w:t>
      </w:r>
      <w:r w:rsidR="00016563">
        <w:rPr>
          <w:rFonts w:cs="Arial"/>
          <w:color w:val="000000"/>
        </w:rPr>
        <w:t xml:space="preserve">.  These are </w:t>
      </w:r>
      <w:r w:rsidRPr="000104C1">
        <w:rPr>
          <w:rFonts w:cs="Arial"/>
          <w:color w:val="000000"/>
        </w:rPr>
        <w:t>key indicators monitored locally</w:t>
      </w:r>
      <w:r w:rsidR="00016563">
        <w:rPr>
          <w:rFonts w:cs="Arial"/>
          <w:color w:val="000000"/>
        </w:rPr>
        <w:t xml:space="preserve"> and published nationally each year.  </w:t>
      </w:r>
    </w:p>
    <w:p w14:paraId="5ACAA3E6" w14:textId="77777777" w:rsidR="00016563" w:rsidRDefault="00016563" w:rsidP="0008143E">
      <w:pPr>
        <w:jc w:val="both"/>
        <w:rPr>
          <w:rFonts w:cs="Arial"/>
          <w:color w:val="000000"/>
        </w:rPr>
      </w:pPr>
    </w:p>
    <w:p w14:paraId="2AFE9595" w14:textId="77777777" w:rsidR="00016563" w:rsidRDefault="0008143E" w:rsidP="0008143E">
      <w:pPr>
        <w:jc w:val="both"/>
        <w:rPr>
          <w:rFonts w:cs="Arial"/>
          <w:color w:val="000000"/>
        </w:rPr>
      </w:pPr>
      <w:r w:rsidRPr="000104C1">
        <w:rPr>
          <w:rFonts w:cs="Arial"/>
          <w:color w:val="000000"/>
        </w:rPr>
        <w:t xml:space="preserve">Not </w:t>
      </w:r>
      <w:r w:rsidR="00016563">
        <w:rPr>
          <w:rFonts w:cs="Arial"/>
          <w:color w:val="000000"/>
        </w:rPr>
        <w:t xml:space="preserve">procuring a supplier to deliver the services concerned, </w:t>
      </w:r>
      <w:r w:rsidRPr="000104C1">
        <w:rPr>
          <w:rFonts w:cs="Arial"/>
          <w:color w:val="000000"/>
        </w:rPr>
        <w:t xml:space="preserve">would </w:t>
      </w:r>
      <w:r w:rsidR="00016563">
        <w:rPr>
          <w:rFonts w:cs="Arial"/>
          <w:color w:val="000000"/>
        </w:rPr>
        <w:t xml:space="preserve">adversely impact </w:t>
      </w:r>
      <w:r w:rsidR="00952379">
        <w:rPr>
          <w:rFonts w:cs="Arial"/>
          <w:color w:val="000000"/>
        </w:rPr>
        <w:t xml:space="preserve">upon </w:t>
      </w:r>
      <w:r w:rsidRPr="000104C1">
        <w:rPr>
          <w:rFonts w:cs="Arial"/>
          <w:color w:val="000000"/>
        </w:rPr>
        <w:t>Harrow’s in</w:t>
      </w:r>
      <w:r w:rsidR="00016563">
        <w:rPr>
          <w:rFonts w:cs="Arial"/>
          <w:color w:val="000000"/>
        </w:rPr>
        <w:t>-</w:t>
      </w:r>
      <w:r w:rsidRPr="000104C1">
        <w:rPr>
          <w:rFonts w:cs="Arial"/>
          <w:color w:val="000000"/>
        </w:rPr>
        <w:t xml:space="preserve">year </w:t>
      </w:r>
      <w:r w:rsidR="00952379">
        <w:rPr>
          <w:rFonts w:cs="Arial"/>
          <w:color w:val="000000"/>
        </w:rPr>
        <w:t xml:space="preserve">cash </w:t>
      </w:r>
      <w:r w:rsidRPr="000104C1">
        <w:rPr>
          <w:rFonts w:cs="Arial"/>
          <w:color w:val="000000"/>
        </w:rPr>
        <w:t>collection rates</w:t>
      </w:r>
      <w:r w:rsidR="00016563">
        <w:rPr>
          <w:rFonts w:cs="Arial"/>
          <w:color w:val="000000"/>
        </w:rPr>
        <w:t xml:space="preserve"> achieved, </w:t>
      </w:r>
      <w:r w:rsidRPr="000104C1">
        <w:rPr>
          <w:rFonts w:cs="Arial"/>
          <w:color w:val="000000"/>
        </w:rPr>
        <w:t xml:space="preserve">cash flow </w:t>
      </w:r>
      <w:r w:rsidR="00016563">
        <w:rPr>
          <w:rFonts w:cs="Arial"/>
          <w:color w:val="000000"/>
        </w:rPr>
        <w:t xml:space="preserve">management </w:t>
      </w:r>
      <w:r w:rsidR="00952379">
        <w:rPr>
          <w:rFonts w:cs="Arial"/>
          <w:color w:val="000000"/>
        </w:rPr>
        <w:t xml:space="preserve">arrangements </w:t>
      </w:r>
      <w:r w:rsidR="00016563">
        <w:rPr>
          <w:rFonts w:cs="Arial"/>
          <w:color w:val="000000"/>
        </w:rPr>
        <w:t xml:space="preserve">and potentially, its reputation with stakeholders.  </w:t>
      </w:r>
    </w:p>
    <w:p w14:paraId="03BD459B" w14:textId="77777777" w:rsidR="0063521A" w:rsidRPr="00B54AFA" w:rsidRDefault="0063521A" w:rsidP="0063521A">
      <w:pPr>
        <w:tabs>
          <w:tab w:val="left" w:pos="7245"/>
        </w:tabs>
        <w:rPr>
          <w:i/>
          <w:color w:val="0000FF"/>
        </w:rPr>
      </w:pPr>
    </w:p>
    <w:p w14:paraId="0F2401EF" w14:textId="77777777" w:rsidR="0063521A" w:rsidRPr="00497816" w:rsidRDefault="0063521A" w:rsidP="0063521A">
      <w:pPr>
        <w:pStyle w:val="Heading4"/>
        <w:rPr>
          <w:szCs w:val="24"/>
        </w:rPr>
      </w:pPr>
      <w:r w:rsidRPr="00497816">
        <w:rPr>
          <w:szCs w:val="24"/>
        </w:rPr>
        <w:t>Environmental Implications</w:t>
      </w:r>
    </w:p>
    <w:p w14:paraId="736AF142" w14:textId="77777777" w:rsidR="00952379" w:rsidRPr="00CC7D5C" w:rsidRDefault="00952379" w:rsidP="00952379">
      <w:pPr>
        <w:jc w:val="both"/>
      </w:pPr>
      <w:r w:rsidRPr="00CC7D5C">
        <w:t xml:space="preserve">There are no </w:t>
      </w:r>
      <w:r>
        <w:t xml:space="preserve">significant </w:t>
      </w:r>
      <w:r w:rsidRPr="00CC7D5C">
        <w:t xml:space="preserve">environmental impacts </w:t>
      </w:r>
      <w:r>
        <w:t xml:space="preserve">currently </w:t>
      </w:r>
      <w:r w:rsidRPr="00CC7D5C">
        <w:t>anticipated from the recommendations contained within this report.</w:t>
      </w:r>
      <w:r>
        <w:t xml:space="preserve">  However, subject to approval of the recommendations in this report, tenderers will be requested to submit proposals that have a positive impact for the local environment </w:t>
      </w:r>
      <w:r w:rsidR="00BD4C1E">
        <w:t>and that shall be evaluated for the purposes of determining the most economically advantageous tender(s)</w:t>
      </w:r>
      <w:r>
        <w:t xml:space="preserve">.  </w:t>
      </w:r>
    </w:p>
    <w:p w14:paraId="68B65D19" w14:textId="77777777" w:rsidR="00952379" w:rsidRPr="00CC7D5C" w:rsidRDefault="00952379" w:rsidP="00952379">
      <w:pPr>
        <w:ind w:left="709"/>
        <w:jc w:val="both"/>
      </w:pPr>
    </w:p>
    <w:p w14:paraId="371E661E" w14:textId="77777777" w:rsidR="0063521A" w:rsidRPr="00F14DFB" w:rsidRDefault="0063521A" w:rsidP="0063521A">
      <w:pPr>
        <w:pStyle w:val="Heading4"/>
        <w:rPr>
          <w:szCs w:val="24"/>
        </w:rPr>
      </w:pPr>
      <w:r w:rsidRPr="00F14DFB">
        <w:rPr>
          <w:szCs w:val="24"/>
        </w:rPr>
        <w:t>Data Protection Implications</w:t>
      </w:r>
    </w:p>
    <w:p w14:paraId="2440652A" w14:textId="77777777" w:rsidR="00F14DFB" w:rsidRPr="00F14DFB" w:rsidRDefault="00F14DFB" w:rsidP="00BD4C1E">
      <w:pPr>
        <w:jc w:val="both"/>
      </w:pPr>
      <w:r w:rsidRPr="00F14DFB">
        <w:t xml:space="preserve">The contract agreement </w:t>
      </w:r>
      <w:r>
        <w:t xml:space="preserve">for the services in scope, </w:t>
      </w:r>
      <w:r w:rsidRPr="00F14DFB">
        <w:t xml:space="preserve">will require tenderers to </w:t>
      </w:r>
      <w:r>
        <w:t xml:space="preserve">comply with </w:t>
      </w:r>
      <w:r w:rsidRPr="00F14DFB">
        <w:t xml:space="preserve">Harrow Council terms and conditions </w:t>
      </w:r>
      <w:r w:rsidR="00137224">
        <w:t xml:space="preserve">in relation to </w:t>
      </w:r>
      <w:r w:rsidRPr="00F14DFB">
        <w:t>General Data Protection Regulation (GDPR) provisions.</w:t>
      </w:r>
    </w:p>
    <w:p w14:paraId="5575D50C" w14:textId="77777777" w:rsidR="00F14DFB" w:rsidRPr="00F14DFB" w:rsidRDefault="00F14DFB" w:rsidP="00BD4C1E">
      <w:pPr>
        <w:jc w:val="both"/>
      </w:pPr>
    </w:p>
    <w:p w14:paraId="247B1091" w14:textId="77777777" w:rsidR="00F14DFB" w:rsidRPr="00F14DFB" w:rsidRDefault="00F14DFB" w:rsidP="00BD4C1E">
      <w:pPr>
        <w:jc w:val="both"/>
      </w:pPr>
      <w:r w:rsidRPr="00F14DFB">
        <w:t xml:space="preserve">It is </w:t>
      </w:r>
      <w:r w:rsidR="00137224">
        <w:t xml:space="preserve">also </w:t>
      </w:r>
      <w:r w:rsidRPr="00F14DFB">
        <w:t xml:space="preserve">proposed that Data and IT Security be one of the </w:t>
      </w:r>
      <w:r w:rsidR="00137224">
        <w:t xml:space="preserve">qualitative </w:t>
      </w:r>
      <w:r w:rsidRPr="00F14DFB">
        <w:t xml:space="preserve">criteria </w:t>
      </w:r>
      <w:r w:rsidR="00BD4C1E">
        <w:t xml:space="preserve">that shall be evaluated for the purposes of determining the most economically advantageous tender(s).  </w:t>
      </w:r>
    </w:p>
    <w:p w14:paraId="20375109" w14:textId="77777777" w:rsidR="0063521A" w:rsidRDefault="00F14DFB" w:rsidP="0063521A">
      <w:pPr>
        <w:pStyle w:val="Heading3"/>
        <w:spacing w:before="480" w:after="240"/>
      </w:pPr>
      <w:r>
        <w:t>R</w:t>
      </w:r>
      <w:r w:rsidR="0063521A">
        <w:t>isk Management Implications</w:t>
      </w:r>
    </w:p>
    <w:p w14:paraId="052C8F41" w14:textId="77777777" w:rsidR="00E06E8A" w:rsidRPr="00105B8A" w:rsidRDefault="00E06E8A" w:rsidP="00E06E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sidRPr="00E06E8A">
        <w:rPr>
          <w:rFonts w:cs="Arial"/>
          <w:b/>
          <w:bCs/>
          <w:szCs w:val="24"/>
          <w:lang w:val="en-US"/>
        </w:rPr>
        <w:t>No</w:t>
      </w:r>
      <w:r>
        <w:rPr>
          <w:rFonts w:cs="Arial"/>
          <w:szCs w:val="24"/>
          <w:lang w:val="en-US"/>
        </w:rPr>
        <w:t xml:space="preserve">  </w:t>
      </w:r>
    </w:p>
    <w:p w14:paraId="198060F2" w14:textId="77777777" w:rsidR="00E06E8A" w:rsidRDefault="00E06E8A" w:rsidP="00E06E8A">
      <w:pPr>
        <w:ind w:left="-142" w:right="141"/>
        <w:rPr>
          <w:rFonts w:cs="Arial"/>
          <w:szCs w:val="24"/>
          <w:lang w:val="en-US" w:eastAsia="en-GB"/>
        </w:rPr>
      </w:pPr>
      <w:r>
        <w:rPr>
          <w:rFonts w:cs="Arial"/>
          <w:szCs w:val="24"/>
          <w:lang w:val="en-US" w:eastAsia="en-GB"/>
        </w:rPr>
        <w:t xml:space="preserve">  </w:t>
      </w:r>
    </w:p>
    <w:p w14:paraId="6D13DD75" w14:textId="77777777" w:rsidR="00E06E8A" w:rsidRDefault="00E06E8A" w:rsidP="00D21FB5">
      <w:pPr>
        <w:ind w:right="141"/>
        <w:rPr>
          <w:rFonts w:cs="Arial"/>
          <w:color w:val="4472C4"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 xml:space="preserve">Yes – A project risk register will be </w:t>
      </w:r>
      <w:r w:rsidR="00D21FB5">
        <w:rPr>
          <w:rFonts w:cs="Arial"/>
          <w:b/>
          <w:bCs/>
          <w:szCs w:val="24"/>
          <w:lang w:val="en-US" w:eastAsia="en-GB"/>
        </w:rPr>
        <w:t xml:space="preserve">established and maintained for this project. </w:t>
      </w:r>
    </w:p>
    <w:p w14:paraId="2E23BE87" w14:textId="77777777" w:rsidR="00E06E8A" w:rsidRDefault="00E06E8A" w:rsidP="00E06E8A">
      <w:pPr>
        <w:tabs>
          <w:tab w:val="left" w:pos="5610"/>
        </w:tabs>
        <w:ind w:left="567" w:right="81" w:hanging="567"/>
      </w:pPr>
    </w:p>
    <w:p w14:paraId="2C50FF9C" w14:textId="082A10F3" w:rsidR="00E06E8A" w:rsidRDefault="00E06E8A" w:rsidP="00E06E8A">
      <w:pPr>
        <w:tabs>
          <w:tab w:val="left" w:pos="5610"/>
        </w:tabs>
        <w:ind w:right="81"/>
      </w:pPr>
      <w:r>
        <w:t xml:space="preserve">The relevant risks </w:t>
      </w:r>
      <w:r w:rsidR="00043E03">
        <w:t>to be added to</w:t>
      </w:r>
      <w:r>
        <w:t xml:space="preserve"> the register are attached/summarised below. </w:t>
      </w:r>
    </w:p>
    <w:p w14:paraId="3A6AD0D9" w14:textId="77777777" w:rsidR="00E06E8A" w:rsidRDefault="00E06E8A" w:rsidP="00E06E8A"/>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F45AB6" w14:paraId="2A64AE4A" w14:textId="77777777" w:rsidTr="003F42FD">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AF21E" w14:textId="77777777" w:rsidR="00F45AB6" w:rsidRDefault="00F45AB6" w:rsidP="003F42FD">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74836" w14:textId="77777777" w:rsidR="00F45AB6" w:rsidRDefault="00F45AB6" w:rsidP="003F42FD">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0E9F4E5" w14:textId="77777777" w:rsidR="00F45AB6" w:rsidRDefault="00F45AB6" w:rsidP="003F42FD">
            <w:pPr>
              <w:spacing w:line="247" w:lineRule="auto"/>
              <w:ind w:left="171" w:right="141"/>
              <w:rPr>
                <w:rFonts w:cs="Arial"/>
                <w:b/>
                <w:bCs/>
                <w:szCs w:val="24"/>
                <w:lang w:val="en-US" w:eastAsia="en-GB"/>
              </w:rPr>
            </w:pPr>
            <w:r>
              <w:rPr>
                <w:rFonts w:cs="Arial"/>
                <w:b/>
                <w:bCs/>
                <w:szCs w:val="24"/>
                <w:lang w:val="en-US" w:eastAsia="en-GB"/>
              </w:rPr>
              <w:t>RAG Status</w:t>
            </w:r>
          </w:p>
        </w:tc>
      </w:tr>
      <w:tr w:rsidR="00E06E8A" w14:paraId="3F97D635"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F1018" w14:textId="77777777" w:rsidR="00E06E8A" w:rsidRDefault="00E06E8A" w:rsidP="00B375FF">
            <w:pPr>
              <w:spacing w:line="247" w:lineRule="auto"/>
              <w:ind w:right="141"/>
              <w:rPr>
                <w:rFonts w:cs="Arial"/>
                <w:szCs w:val="24"/>
                <w:lang w:val="en-US" w:eastAsia="en-GB"/>
              </w:rPr>
            </w:pPr>
            <w:r>
              <w:t>There may be insufficient market interest from suitably qualified suppliers.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4B6F" w14:textId="77777777" w:rsidR="00E06E8A" w:rsidRDefault="00E06E8A" w:rsidP="00B375FF">
            <w:pPr>
              <w:suppressAutoHyphens/>
              <w:autoSpaceDN w:val="0"/>
              <w:spacing w:line="247" w:lineRule="auto"/>
              <w:ind w:right="141"/>
              <w:rPr>
                <w:szCs w:val="24"/>
                <w:lang w:val="en-US"/>
              </w:rPr>
            </w:pPr>
            <w:r>
              <w:rPr>
                <w:szCs w:val="24"/>
                <w:lang w:val="en-US"/>
              </w:rPr>
              <w:t xml:space="preserve">The Civil Enforcement Service market is well established with a significant number of suitably qualified organisations considered likely to express an interest in the work requirements.  </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FEFDA55" w14:textId="77777777" w:rsidR="00E06E8A" w:rsidRDefault="00E06E8A" w:rsidP="003F42FD">
            <w:pPr>
              <w:spacing w:line="247" w:lineRule="auto"/>
              <w:ind w:right="141"/>
              <w:jc w:val="both"/>
              <w:rPr>
                <w:rFonts w:cs="Arial"/>
                <w:szCs w:val="24"/>
                <w:lang w:val="en-US" w:eastAsia="en-GB"/>
              </w:rPr>
            </w:pPr>
            <w:r>
              <w:rPr>
                <w:rFonts w:cs="Arial"/>
                <w:szCs w:val="24"/>
                <w:lang w:val="en-US" w:eastAsia="en-GB"/>
              </w:rPr>
              <w:t>Green</w:t>
            </w:r>
          </w:p>
        </w:tc>
      </w:tr>
      <w:tr w:rsidR="00F45AB6" w14:paraId="7918A355"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753D" w14:textId="76AEDA3E" w:rsidR="00F45AB6" w:rsidRDefault="00E06E8A" w:rsidP="00B375FF">
            <w:pPr>
              <w:spacing w:line="247" w:lineRule="auto"/>
              <w:ind w:right="141"/>
              <w:rPr>
                <w:rFonts w:cs="Arial"/>
                <w:szCs w:val="24"/>
                <w:lang w:val="en-US" w:eastAsia="en-GB"/>
              </w:rPr>
            </w:pPr>
            <w:r>
              <w:t>A</w:t>
            </w:r>
            <w:r w:rsidR="00F45AB6">
              <w:t xml:space="preserve">ctual volumes and </w:t>
            </w:r>
            <w:r>
              <w:t xml:space="preserve">unit </w:t>
            </w:r>
            <w:r w:rsidR="00F45AB6">
              <w:t xml:space="preserve">prices </w:t>
            </w:r>
            <w:r w:rsidR="00214100">
              <w:t>payable by Harrow C</w:t>
            </w:r>
            <w:r w:rsidR="00A34263">
              <w:t>osts</w:t>
            </w:r>
            <w:r w:rsidR="00214100">
              <w:t xml:space="preserve"> </w:t>
            </w:r>
            <w:r w:rsidR="00F45AB6">
              <w:t xml:space="preserve">for the services in scope may differ from that currently financed </w:t>
            </w:r>
            <w:r w:rsidR="00214100">
              <w:t xml:space="preserve">from </w:t>
            </w:r>
            <w:r w:rsidR="00F45AB6">
              <w:t>within service budgets.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71AA" w14:textId="77777777" w:rsidR="00F45AB6" w:rsidRDefault="00F45AB6" w:rsidP="00B375FF">
            <w:pPr>
              <w:pStyle w:val="ListParagraph"/>
              <w:suppressAutoHyphens/>
              <w:autoSpaceDN w:val="0"/>
              <w:spacing w:line="247" w:lineRule="auto"/>
              <w:ind w:left="0" w:right="141"/>
              <w:rPr>
                <w:szCs w:val="24"/>
                <w:lang w:val="en-US"/>
              </w:rPr>
            </w:pPr>
            <w:r>
              <w:rPr>
                <w:szCs w:val="24"/>
                <w:lang w:val="en-US"/>
              </w:rPr>
              <w:t xml:space="preserve">The volumes of </w:t>
            </w:r>
            <w:r w:rsidR="00E06E8A">
              <w:rPr>
                <w:szCs w:val="24"/>
                <w:lang w:val="en-US"/>
              </w:rPr>
              <w:t xml:space="preserve">direct </w:t>
            </w:r>
            <w:r>
              <w:rPr>
                <w:szCs w:val="24"/>
                <w:lang w:val="en-US"/>
              </w:rPr>
              <w:t xml:space="preserve">chargeable services are anticipated to be low based upon prevailing requirements (both statutory and otherwise) and therefore </w:t>
            </w:r>
            <w:r w:rsidR="00E06E8A">
              <w:rPr>
                <w:szCs w:val="24"/>
                <w:lang w:val="en-US"/>
              </w:rPr>
              <w:t>c</w:t>
            </w:r>
            <w:r w:rsidR="00214100">
              <w:rPr>
                <w:szCs w:val="24"/>
                <w:lang w:val="en-US"/>
              </w:rPr>
              <w:t>ould be absorbed within existing revenue budgets.</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A444BB2" w14:textId="77777777" w:rsidR="00F45AB6" w:rsidRDefault="00F45AB6" w:rsidP="00E06E8A">
            <w:pPr>
              <w:spacing w:line="247" w:lineRule="auto"/>
              <w:ind w:right="141"/>
              <w:jc w:val="both"/>
              <w:rPr>
                <w:rFonts w:cs="Arial"/>
                <w:szCs w:val="24"/>
                <w:lang w:val="en-US" w:eastAsia="en-GB"/>
              </w:rPr>
            </w:pPr>
            <w:r>
              <w:rPr>
                <w:rFonts w:cs="Arial"/>
                <w:szCs w:val="24"/>
                <w:lang w:val="en-US" w:eastAsia="en-GB"/>
              </w:rPr>
              <w:t>Green</w:t>
            </w:r>
          </w:p>
        </w:tc>
      </w:tr>
      <w:tr w:rsidR="00214100" w14:paraId="0BB1A789"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F282" w14:textId="77777777" w:rsidR="00214100" w:rsidRDefault="00214100" w:rsidP="00B375FF">
            <w:pPr>
              <w:spacing w:line="247" w:lineRule="auto"/>
              <w:ind w:right="141"/>
            </w:pPr>
            <w:r>
              <w:t xml:space="preserve">The procurement and contract award, </w:t>
            </w:r>
            <w:r w:rsidR="00E06E8A">
              <w:t xml:space="preserve">are </w:t>
            </w:r>
            <w:r>
              <w:t>not concluded by the existing contract expiry date.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A3E2B" w14:textId="77777777" w:rsidR="00214100" w:rsidRDefault="00214100" w:rsidP="00B375FF">
            <w:pPr>
              <w:suppressAutoHyphens/>
              <w:autoSpaceDN w:val="0"/>
              <w:spacing w:line="247" w:lineRule="auto"/>
              <w:ind w:right="141"/>
              <w:rPr>
                <w:szCs w:val="24"/>
                <w:lang w:val="en-US"/>
              </w:rPr>
            </w:pPr>
            <w:r>
              <w:rPr>
                <w:szCs w:val="24"/>
                <w:lang w:val="en-US"/>
              </w:rPr>
              <w:t>The procurement arrangements will commence and be conducted within the</w:t>
            </w:r>
            <w:r w:rsidR="00E06E8A">
              <w:rPr>
                <w:szCs w:val="24"/>
                <w:lang w:val="en-US"/>
              </w:rPr>
              <w:t xml:space="preserve"> project </w:t>
            </w:r>
            <w:r>
              <w:rPr>
                <w:szCs w:val="24"/>
                <w:lang w:val="en-US"/>
              </w:rPr>
              <w:t>timescale required to ensure seamless and continuous service provision.</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35FC267" w14:textId="77777777" w:rsidR="00214100" w:rsidRDefault="00214100" w:rsidP="00E06E8A">
            <w:pPr>
              <w:spacing w:line="247" w:lineRule="auto"/>
              <w:ind w:right="141"/>
              <w:jc w:val="both"/>
              <w:rPr>
                <w:rFonts w:cs="Arial"/>
                <w:szCs w:val="24"/>
                <w:lang w:val="en-US" w:eastAsia="en-GB"/>
              </w:rPr>
            </w:pPr>
            <w:r>
              <w:rPr>
                <w:rFonts w:cs="Arial"/>
                <w:szCs w:val="24"/>
                <w:lang w:val="en-US" w:eastAsia="en-GB"/>
              </w:rPr>
              <w:t>Green</w:t>
            </w:r>
          </w:p>
        </w:tc>
      </w:tr>
      <w:tr w:rsidR="00214100" w14:paraId="56CCFF0D"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FC80" w14:textId="77777777" w:rsidR="00214100" w:rsidRDefault="00214100" w:rsidP="00B375FF">
            <w:pPr>
              <w:spacing w:line="247" w:lineRule="auto"/>
              <w:ind w:right="141"/>
            </w:pPr>
            <w:r>
              <w:t>Non-compliant tenders may be received.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8A26" w14:textId="77777777" w:rsidR="00214100" w:rsidRDefault="00214100" w:rsidP="00B375FF">
            <w:pPr>
              <w:suppressAutoHyphens/>
              <w:autoSpaceDN w:val="0"/>
              <w:spacing w:line="247" w:lineRule="auto"/>
              <w:ind w:right="141"/>
              <w:rPr>
                <w:szCs w:val="24"/>
                <w:lang w:val="en-US"/>
              </w:rPr>
            </w:pPr>
            <w:r>
              <w:rPr>
                <w:szCs w:val="24"/>
                <w:lang w:val="en-US"/>
              </w:rPr>
              <w:t xml:space="preserve">The procurement strategy and approach </w:t>
            </w:r>
            <w:r w:rsidR="00E06E8A">
              <w:rPr>
                <w:szCs w:val="24"/>
                <w:lang w:val="en-US"/>
              </w:rPr>
              <w:t xml:space="preserve">determined, shall </w:t>
            </w:r>
            <w:r>
              <w:rPr>
                <w:szCs w:val="24"/>
                <w:lang w:val="en-US"/>
              </w:rPr>
              <w:t>have due regard to any likelihood for non-compliance and incorporate reasonable steps to mitigate that risk.</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44BB0DE" w14:textId="77777777" w:rsidR="00214100" w:rsidRDefault="00214100" w:rsidP="00E06E8A">
            <w:pPr>
              <w:spacing w:line="247" w:lineRule="auto"/>
              <w:ind w:right="141"/>
              <w:jc w:val="both"/>
              <w:rPr>
                <w:rFonts w:cs="Arial"/>
                <w:szCs w:val="24"/>
                <w:lang w:val="en-US" w:eastAsia="en-GB"/>
              </w:rPr>
            </w:pPr>
            <w:r>
              <w:rPr>
                <w:rFonts w:cs="Arial"/>
                <w:szCs w:val="24"/>
                <w:lang w:val="en-US" w:eastAsia="en-GB"/>
              </w:rPr>
              <w:t>Green</w:t>
            </w:r>
          </w:p>
        </w:tc>
      </w:tr>
      <w:tr w:rsidR="00674CEC" w14:paraId="3DF74CAD"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873B4" w14:textId="1644AE3A" w:rsidR="00674CEC" w:rsidRDefault="000E142A" w:rsidP="000E142A">
            <w:pPr>
              <w:spacing w:line="247" w:lineRule="auto"/>
              <w:ind w:right="141"/>
            </w:pPr>
            <w:r>
              <w:t xml:space="preserve">Non-compliance with the </w:t>
            </w:r>
            <w:r w:rsidR="00674CEC">
              <w:t>application of the Public Contracts Regulations</w:t>
            </w:r>
            <w:r w:rsidR="002627B3">
              <w:t>,</w:t>
            </w:r>
            <w:r>
              <w:t xml:space="preserve"> </w:t>
            </w:r>
            <w:r w:rsidR="00674CEC">
              <w:t xml:space="preserve">Public Services (Social Value) Act </w:t>
            </w:r>
            <w:r w:rsidR="002627B3">
              <w:t xml:space="preserve">&amp; </w:t>
            </w:r>
            <w:r w:rsidR="00014980">
              <w:t>Harrow’s C</w:t>
            </w:r>
            <w:r w:rsidR="002627B3">
              <w:t xml:space="preserve">ontract </w:t>
            </w:r>
            <w:r w:rsidR="00CA4563">
              <w:t>Procedure Rules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B8D92" w14:textId="180D4323" w:rsidR="00674CEC" w:rsidRDefault="00674CEC" w:rsidP="00674CEC">
            <w:pPr>
              <w:suppressAutoHyphens/>
              <w:autoSpaceDN w:val="0"/>
              <w:spacing w:line="247" w:lineRule="auto"/>
              <w:ind w:right="141"/>
              <w:rPr>
                <w:szCs w:val="24"/>
                <w:lang w:val="en-US"/>
              </w:rPr>
            </w:pPr>
            <w:r>
              <w:rPr>
                <w:szCs w:val="24"/>
                <w:lang w:val="en-US"/>
              </w:rPr>
              <w:t>The procurement approach determined, shall have due regard to any likelihood for non-compliance and incorporate reasonable steps to mitigate that risk.</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462D0F6" w14:textId="28414AE7" w:rsidR="00674CEC" w:rsidRDefault="00475C8A" w:rsidP="00674CEC">
            <w:pPr>
              <w:spacing w:line="247" w:lineRule="auto"/>
              <w:ind w:right="141"/>
              <w:jc w:val="both"/>
              <w:rPr>
                <w:rFonts w:cs="Arial"/>
                <w:szCs w:val="24"/>
                <w:lang w:val="en-US" w:eastAsia="en-GB"/>
              </w:rPr>
            </w:pPr>
            <w:r>
              <w:rPr>
                <w:rFonts w:cs="Arial"/>
                <w:szCs w:val="24"/>
                <w:lang w:val="en-US" w:eastAsia="en-GB"/>
              </w:rPr>
              <w:t>Green</w:t>
            </w:r>
          </w:p>
        </w:tc>
      </w:tr>
      <w:tr w:rsidR="00674CEC" w14:paraId="2892EC21"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DCA81" w14:textId="77777777" w:rsidR="00674CEC" w:rsidRDefault="00674CEC" w:rsidP="00674CEC">
            <w:r>
              <w:t>Service disruption may occur at the end of the existing contract, particularly if there is to be a transfer of the work to a new supplier(s).</w:t>
            </w:r>
          </w:p>
          <w:p w14:paraId="1AEE6EB0" w14:textId="77777777" w:rsidR="00674CEC" w:rsidRDefault="00674CEC" w:rsidP="00674CEC"/>
          <w:p w14:paraId="481915C7" w14:textId="77777777" w:rsidR="00674CEC" w:rsidRDefault="00674CEC" w:rsidP="00674CEC"/>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43D8" w14:textId="77777777" w:rsidR="00674CEC" w:rsidRDefault="00674CEC" w:rsidP="00674CEC">
            <w:pPr>
              <w:suppressAutoHyphens/>
              <w:autoSpaceDN w:val="0"/>
              <w:spacing w:line="247" w:lineRule="auto"/>
              <w:ind w:right="141"/>
              <w:rPr>
                <w:szCs w:val="24"/>
                <w:lang w:val="en-US"/>
              </w:rPr>
            </w:pPr>
            <w:r>
              <w:rPr>
                <w:szCs w:val="24"/>
                <w:lang w:val="en-US"/>
              </w:rPr>
              <w:t>Exit arrangements are provided for within existing agreements and a transition period is anticipated for take-on of the contractual obligations in the event of a new supplier.</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8E87310" w14:textId="77777777" w:rsidR="00674CEC" w:rsidRDefault="00674CEC" w:rsidP="00674CEC">
            <w:pPr>
              <w:spacing w:line="247" w:lineRule="auto"/>
              <w:ind w:right="141"/>
              <w:jc w:val="both"/>
              <w:rPr>
                <w:rFonts w:cs="Arial"/>
                <w:szCs w:val="24"/>
                <w:lang w:val="en-US" w:eastAsia="en-GB"/>
              </w:rPr>
            </w:pPr>
            <w:r>
              <w:rPr>
                <w:rFonts w:cs="Arial"/>
                <w:szCs w:val="24"/>
                <w:lang w:val="en-US" w:eastAsia="en-GB"/>
              </w:rPr>
              <w:t>Green</w:t>
            </w:r>
          </w:p>
        </w:tc>
      </w:tr>
      <w:tr w:rsidR="00674CEC" w14:paraId="0E001D91"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9741F" w14:textId="77777777" w:rsidR="00674CEC" w:rsidRDefault="00674CEC" w:rsidP="00674CEC">
            <w:r>
              <w:t xml:space="preserve">Key Harrow personnel may not be available to support the project at the relevant times required.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8A3B2" w14:textId="77777777" w:rsidR="00674CEC" w:rsidRDefault="00674CEC" w:rsidP="00674CEC">
            <w:pPr>
              <w:suppressAutoHyphens/>
              <w:autoSpaceDN w:val="0"/>
              <w:spacing w:line="247" w:lineRule="auto"/>
              <w:ind w:right="141"/>
              <w:rPr>
                <w:szCs w:val="24"/>
                <w:lang w:val="en-US"/>
              </w:rPr>
            </w:pPr>
            <w:r>
              <w:rPr>
                <w:szCs w:val="24"/>
                <w:lang w:val="en-US"/>
              </w:rPr>
              <w:t xml:space="preserve">A detailed project timetable and availability of key personnel shall be determined at the project outset to ensure continuity and achievement of required workstreams.  </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E5CED15" w14:textId="77777777" w:rsidR="00674CEC" w:rsidRDefault="00674CEC" w:rsidP="00674CEC">
            <w:pPr>
              <w:spacing w:line="247" w:lineRule="auto"/>
              <w:ind w:right="141"/>
              <w:jc w:val="both"/>
              <w:rPr>
                <w:rFonts w:cs="Arial"/>
                <w:szCs w:val="24"/>
                <w:lang w:val="en-US" w:eastAsia="en-GB"/>
              </w:rPr>
            </w:pPr>
            <w:r>
              <w:rPr>
                <w:rFonts w:cs="Arial"/>
                <w:szCs w:val="24"/>
                <w:lang w:val="en-US" w:eastAsia="en-GB"/>
              </w:rPr>
              <w:t xml:space="preserve">Green </w:t>
            </w:r>
          </w:p>
        </w:tc>
      </w:tr>
      <w:tr w:rsidR="00674CEC" w14:paraId="741A6CB2" w14:textId="77777777" w:rsidTr="00B375F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9FEDE" w14:textId="54DC4576" w:rsidR="00674CEC" w:rsidRDefault="00674CEC" w:rsidP="00674CEC">
            <w:r>
              <w:t>Risk to budget due to no Enforcement Agent contract being in place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34D68" w14:textId="52F6341E" w:rsidR="00674CEC" w:rsidRDefault="00674CEC" w:rsidP="00674CEC">
            <w:pPr>
              <w:suppressAutoHyphens/>
              <w:autoSpaceDN w:val="0"/>
              <w:spacing w:line="247" w:lineRule="auto"/>
              <w:ind w:right="141"/>
              <w:rPr>
                <w:szCs w:val="24"/>
                <w:lang w:val="en-US"/>
              </w:rPr>
            </w:pPr>
            <w:r>
              <w:rPr>
                <w:szCs w:val="24"/>
                <w:lang w:val="en-US"/>
              </w:rPr>
              <w:t>Adherence to this procurement process will reduce risk and ensure collection performance is maintained to meet budgeted income targets</w:t>
            </w:r>
          </w:p>
        </w:tc>
        <w:tc>
          <w:tcPr>
            <w:tcW w:w="20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C1D88EA" w14:textId="421C9E7D" w:rsidR="00674CEC" w:rsidRDefault="00674CEC" w:rsidP="00674CEC">
            <w:pPr>
              <w:spacing w:line="247" w:lineRule="auto"/>
              <w:ind w:right="141"/>
              <w:jc w:val="both"/>
              <w:rPr>
                <w:rFonts w:cs="Arial"/>
                <w:szCs w:val="24"/>
                <w:lang w:val="en-US" w:eastAsia="en-GB"/>
              </w:rPr>
            </w:pPr>
            <w:r>
              <w:rPr>
                <w:rFonts w:cs="Arial"/>
                <w:szCs w:val="24"/>
                <w:lang w:val="en-US" w:eastAsia="en-GB"/>
              </w:rPr>
              <w:t>Green</w:t>
            </w:r>
          </w:p>
        </w:tc>
      </w:tr>
    </w:tbl>
    <w:bookmarkEnd w:id="0"/>
    <w:bookmarkEnd w:id="1"/>
    <w:bookmarkEnd w:id="2"/>
    <w:p w14:paraId="3A2481BD" w14:textId="372C30BB" w:rsidR="0063521A" w:rsidRDefault="0063521A" w:rsidP="0063521A">
      <w:pPr>
        <w:pStyle w:val="Heading3"/>
        <w:spacing w:before="480" w:after="240"/>
      </w:pPr>
      <w:r>
        <w:t>Procurement Implications</w:t>
      </w:r>
      <w:r w:rsidR="007D0703">
        <w:t xml:space="preserve">  </w:t>
      </w:r>
    </w:p>
    <w:p w14:paraId="17E5E150" w14:textId="2D4992E3" w:rsidR="002A2AB6" w:rsidRDefault="002A2AB6" w:rsidP="004D1D3A">
      <w:pPr>
        <w:jc w:val="both"/>
      </w:pPr>
      <w:r>
        <w:t xml:space="preserve">The estimated total value of the Service recommended </w:t>
      </w:r>
      <w:r w:rsidR="00D24015">
        <w:t xml:space="preserve">to be procured </w:t>
      </w:r>
      <w:r w:rsidR="00BE435F">
        <w:t>(</w:t>
      </w:r>
      <w:r w:rsidR="00D24015">
        <w:t xml:space="preserve">approximately £10m over 7 years) </w:t>
      </w:r>
      <w:r>
        <w:t xml:space="preserve">is above the current UK financial threshold for such services. A procurement will therefore be subject to the full application of the Public Contracts Regulations 2015 (as amended). </w:t>
      </w:r>
    </w:p>
    <w:p w14:paraId="69017A93" w14:textId="77777777" w:rsidR="002A2AB6" w:rsidRDefault="002A2AB6" w:rsidP="004D1D3A">
      <w:pPr>
        <w:jc w:val="both"/>
      </w:pPr>
    </w:p>
    <w:p w14:paraId="78C8424C" w14:textId="50C5D097" w:rsidR="002A2AB6" w:rsidRDefault="002A2AB6" w:rsidP="004D1D3A">
      <w:pPr>
        <w:jc w:val="both"/>
      </w:pPr>
      <w:r>
        <w:t xml:space="preserve">The award of the contract(s) is also subject to the Council’s own </w:t>
      </w:r>
      <w:r w:rsidR="00B147BD">
        <w:t>Contract Procedure Rules</w:t>
      </w:r>
      <w:r>
        <w:t xml:space="preserve"> in respect of High Value contracts and Financial Regulations. As a result, approval in accordance with </w:t>
      </w:r>
      <w:r w:rsidR="00873366">
        <w:t>the Council’s Contract Procedure Rules</w:t>
      </w:r>
      <w:r>
        <w:t xml:space="preserve"> will be required for the award of the contract(s) and a mandatory ten calendar day standstill period will be observed where it is applicable and appropriate to the contract award. </w:t>
      </w:r>
    </w:p>
    <w:p w14:paraId="35A46934" w14:textId="77777777" w:rsidR="002A2AB6" w:rsidRDefault="002A2AB6" w:rsidP="004D1D3A">
      <w:pPr>
        <w:jc w:val="both"/>
      </w:pPr>
    </w:p>
    <w:p w14:paraId="7F64B2A6" w14:textId="77777777" w:rsidR="002A2AB6" w:rsidRDefault="002A2AB6" w:rsidP="004D1D3A">
      <w:pPr>
        <w:jc w:val="both"/>
      </w:pPr>
      <w:r>
        <w:t xml:space="preserve">The new contract proposed will be for a three-year term with an option to extend for two further two-year periods (i.e. providing for a maximum term of seven years).  </w:t>
      </w:r>
    </w:p>
    <w:p w14:paraId="55268470" w14:textId="77777777" w:rsidR="002A2AB6" w:rsidRDefault="002A2AB6" w:rsidP="004D1D3A">
      <w:pPr>
        <w:jc w:val="both"/>
      </w:pPr>
    </w:p>
    <w:p w14:paraId="70310A1C" w14:textId="0EBF828E" w:rsidR="000957A3" w:rsidRDefault="002A2AB6" w:rsidP="004D1D3A">
      <w:pPr>
        <w:jc w:val="both"/>
      </w:pPr>
      <w:r>
        <w:t>The procurement strategy to be adopted for the services in scope</w:t>
      </w:r>
      <w:r w:rsidR="004F4FF0">
        <w:t xml:space="preserve"> </w:t>
      </w:r>
      <w:r>
        <w:t xml:space="preserve">will be </w:t>
      </w:r>
      <w:r w:rsidR="007603A7">
        <w:t>by competition</w:t>
      </w:r>
      <w:r>
        <w:t xml:space="preserve"> or</w:t>
      </w:r>
      <w:r w:rsidR="00286E7A">
        <w:t xml:space="preserve"> </w:t>
      </w:r>
      <w:r>
        <w:t xml:space="preserve">award </w:t>
      </w:r>
      <w:r w:rsidR="00286E7A">
        <w:t xml:space="preserve"> via competition </w:t>
      </w:r>
      <w:r>
        <w:t>against a framework agreement or Dynamic Purchasing System, and in any case, compliant with Public Contract Regulations 2015 (as amended) and the Council</w:t>
      </w:r>
      <w:r w:rsidR="00E8181C">
        <w:t>’s</w:t>
      </w:r>
      <w:r>
        <w:t xml:space="preserve"> </w:t>
      </w:r>
      <w:r w:rsidR="006F2B61">
        <w:t>Contract Procedure Rules</w:t>
      </w:r>
      <w:r>
        <w:t xml:space="preserve">.  </w:t>
      </w:r>
    </w:p>
    <w:p w14:paraId="7BB62C1D" w14:textId="77777777" w:rsidR="00FC4741" w:rsidRDefault="002A2AB6" w:rsidP="00FC4741">
      <w:pPr>
        <w:autoSpaceDE w:val="0"/>
        <w:autoSpaceDN w:val="0"/>
        <w:adjustRightInd w:val="0"/>
        <w:jc w:val="both"/>
        <w:rPr>
          <w:rFonts w:ascii="ArialMT" w:eastAsiaTheme="minorHAnsi" w:hAnsi="ArialMT" w:cs="ArialMT"/>
          <w:szCs w:val="24"/>
        </w:rPr>
      </w:pPr>
      <w:r>
        <w:t xml:space="preserve"> </w:t>
      </w:r>
    </w:p>
    <w:p w14:paraId="16C74801" w14:textId="77777777" w:rsidR="00FC4741" w:rsidRDefault="00FC4741" w:rsidP="00FC4741">
      <w:pPr>
        <w:autoSpaceDE w:val="0"/>
        <w:autoSpaceDN w:val="0"/>
        <w:adjustRightInd w:val="0"/>
        <w:jc w:val="both"/>
      </w:pPr>
      <w:r>
        <w:t>The Council is under a duty pursuant to the Public Services (Social Value) Act 2012 (“the Social Value Act”) to consider how services being procured might improve the economic, social and environmental well-being of its area; how, in conducting the procurement process, the Council might act with a view to securing that improvement. It is therefore proposed that Social Value comprise one of the qualitative criteria evaluated to determine the tender(s) that is the most economically advantageous to the Council.</w:t>
      </w:r>
    </w:p>
    <w:p w14:paraId="36C5D379" w14:textId="6C1FBCCE" w:rsidR="00FC4741" w:rsidRDefault="009B0DC5" w:rsidP="00FC4741">
      <w:pPr>
        <w:autoSpaceDE w:val="0"/>
        <w:autoSpaceDN w:val="0"/>
        <w:adjustRightInd w:val="0"/>
        <w:jc w:val="both"/>
        <w:rPr>
          <w:rFonts w:cs="Arial"/>
          <w:szCs w:val="24"/>
          <w:lang w:eastAsia="en-GB"/>
        </w:rPr>
      </w:pPr>
      <w:r>
        <w:rPr>
          <w:rFonts w:cs="Arial"/>
          <w:szCs w:val="24"/>
          <w:lang w:eastAsia="en-GB"/>
        </w:rPr>
        <w:t>A</w:t>
      </w:r>
      <w:r w:rsidR="00FC4741" w:rsidRPr="003F42FD">
        <w:rPr>
          <w:rFonts w:cs="Arial"/>
          <w:szCs w:val="24"/>
          <w:lang w:eastAsia="en-GB"/>
        </w:rPr>
        <w:t>n indicative timetable for the procurement is shown in Table 1 – Indicative Procurement Timetable below, based upon application of the restricted procedure.  The timetable, however, may vary dependent upon the procurement strategy adopted.</w:t>
      </w:r>
      <w:r w:rsidR="00FC4741">
        <w:rPr>
          <w:rFonts w:cs="Arial"/>
          <w:szCs w:val="24"/>
          <w:lang w:eastAsia="en-GB"/>
        </w:rPr>
        <w:t xml:space="preserve">  </w:t>
      </w:r>
    </w:p>
    <w:p w14:paraId="08F94719" w14:textId="77777777" w:rsidR="00FC4741" w:rsidRDefault="00FC4741" w:rsidP="00FC4741">
      <w:pPr>
        <w:autoSpaceDE w:val="0"/>
        <w:autoSpaceDN w:val="0"/>
        <w:adjustRightInd w:val="0"/>
        <w:jc w:val="both"/>
        <w:rPr>
          <w:rFonts w:cs="Arial"/>
          <w:b/>
          <w:bCs/>
          <w:szCs w:val="24"/>
          <w:lang w:eastAsia="en-GB"/>
        </w:rPr>
      </w:pPr>
    </w:p>
    <w:p w14:paraId="5E2932EB" w14:textId="77777777" w:rsidR="00FC4741" w:rsidRPr="003F42FD" w:rsidRDefault="00FC4741" w:rsidP="00FC4741">
      <w:pPr>
        <w:autoSpaceDE w:val="0"/>
        <w:autoSpaceDN w:val="0"/>
        <w:adjustRightInd w:val="0"/>
        <w:jc w:val="both"/>
        <w:rPr>
          <w:rFonts w:cs="Arial"/>
          <w:b/>
          <w:bCs/>
          <w:szCs w:val="24"/>
          <w:lang w:eastAsia="en-GB"/>
        </w:rPr>
      </w:pPr>
      <w:r w:rsidRPr="003F42FD">
        <w:rPr>
          <w:rFonts w:cs="Arial"/>
          <w:b/>
          <w:bCs/>
          <w:szCs w:val="24"/>
          <w:lang w:eastAsia="en-GB"/>
        </w:rPr>
        <w:t>Table 1 – Indicative Procurement Timetable</w:t>
      </w:r>
    </w:p>
    <w:p w14:paraId="6D933AFC" w14:textId="77777777" w:rsidR="00FC4741" w:rsidRDefault="00FC4741" w:rsidP="00FC4741">
      <w:pPr>
        <w:rPr>
          <w:color w:val="0000FF"/>
        </w:rPr>
      </w:pPr>
    </w:p>
    <w:tbl>
      <w:tblPr>
        <w:tblStyle w:val="TableGrid"/>
        <w:tblW w:w="0" w:type="auto"/>
        <w:tblLook w:val="04A0" w:firstRow="1" w:lastRow="0" w:firstColumn="1" w:lastColumn="0" w:noHBand="0" w:noVBand="1"/>
      </w:tblPr>
      <w:tblGrid>
        <w:gridCol w:w="2689"/>
        <w:gridCol w:w="6327"/>
      </w:tblGrid>
      <w:tr w:rsidR="00FC4741" w:rsidRPr="003F42FD" w14:paraId="4BEF82EB" w14:textId="77777777" w:rsidTr="00461C5A">
        <w:tc>
          <w:tcPr>
            <w:tcW w:w="2689" w:type="dxa"/>
          </w:tcPr>
          <w:p w14:paraId="444AB8AD" w14:textId="77777777" w:rsidR="00FC4741" w:rsidRPr="003F42FD" w:rsidRDefault="00FC4741" w:rsidP="00461C5A">
            <w:pPr>
              <w:autoSpaceDE w:val="0"/>
              <w:autoSpaceDN w:val="0"/>
              <w:adjustRightInd w:val="0"/>
              <w:rPr>
                <w:rFonts w:cs="Arial"/>
                <w:b/>
                <w:szCs w:val="24"/>
                <w:lang w:eastAsia="en-GB"/>
              </w:rPr>
            </w:pPr>
            <w:r w:rsidRPr="003F42FD">
              <w:rPr>
                <w:rFonts w:cs="Arial"/>
                <w:b/>
                <w:szCs w:val="24"/>
                <w:lang w:eastAsia="en-GB"/>
              </w:rPr>
              <w:t>Timing</w:t>
            </w:r>
          </w:p>
        </w:tc>
        <w:tc>
          <w:tcPr>
            <w:tcW w:w="6327" w:type="dxa"/>
          </w:tcPr>
          <w:p w14:paraId="019BAAAE" w14:textId="77777777" w:rsidR="00FC4741" w:rsidRPr="003F42FD" w:rsidRDefault="00FC4741" w:rsidP="00461C5A">
            <w:pPr>
              <w:autoSpaceDE w:val="0"/>
              <w:autoSpaceDN w:val="0"/>
              <w:adjustRightInd w:val="0"/>
              <w:rPr>
                <w:rFonts w:cs="Arial"/>
                <w:b/>
                <w:szCs w:val="24"/>
                <w:lang w:eastAsia="en-GB"/>
              </w:rPr>
            </w:pPr>
            <w:r w:rsidRPr="003F42FD">
              <w:rPr>
                <w:rFonts w:cs="Arial"/>
                <w:b/>
                <w:szCs w:val="24"/>
                <w:lang w:eastAsia="en-GB"/>
              </w:rPr>
              <w:t>Activity</w:t>
            </w:r>
          </w:p>
        </w:tc>
      </w:tr>
      <w:tr w:rsidR="00FC4741" w:rsidRPr="003F42FD" w14:paraId="617813A3" w14:textId="77777777" w:rsidTr="00461C5A">
        <w:tc>
          <w:tcPr>
            <w:tcW w:w="2689" w:type="dxa"/>
          </w:tcPr>
          <w:p w14:paraId="3E7E4392"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10</w:t>
            </w:r>
            <w:r w:rsidRPr="003F42FD">
              <w:rPr>
                <w:rFonts w:cs="Arial"/>
                <w:bCs/>
                <w:szCs w:val="24"/>
                <w:vertAlign w:val="superscript"/>
                <w:lang w:eastAsia="en-GB"/>
              </w:rPr>
              <w:t>th</w:t>
            </w:r>
            <w:r w:rsidRPr="003F42FD">
              <w:rPr>
                <w:rFonts w:cs="Arial"/>
                <w:bCs/>
                <w:szCs w:val="24"/>
                <w:lang w:eastAsia="en-GB"/>
              </w:rPr>
              <w:t xml:space="preserve"> March 2022</w:t>
            </w:r>
          </w:p>
        </w:tc>
        <w:tc>
          <w:tcPr>
            <w:tcW w:w="6327" w:type="dxa"/>
          </w:tcPr>
          <w:p w14:paraId="0CF300F3"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Cabinet Report to authorise procurement</w:t>
            </w:r>
          </w:p>
        </w:tc>
      </w:tr>
      <w:tr w:rsidR="00FC4741" w:rsidRPr="003F42FD" w14:paraId="69994CFE" w14:textId="77777777" w:rsidTr="00461C5A">
        <w:tc>
          <w:tcPr>
            <w:tcW w:w="2689" w:type="dxa"/>
          </w:tcPr>
          <w:p w14:paraId="5696383E"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2</w:t>
            </w:r>
            <w:r w:rsidRPr="003F42FD">
              <w:rPr>
                <w:rFonts w:cs="Arial"/>
                <w:bCs/>
                <w:szCs w:val="24"/>
                <w:vertAlign w:val="superscript"/>
                <w:lang w:eastAsia="en-GB"/>
              </w:rPr>
              <w:t>nd</w:t>
            </w:r>
            <w:r w:rsidRPr="003F42FD">
              <w:rPr>
                <w:rFonts w:cs="Arial"/>
                <w:bCs/>
                <w:szCs w:val="24"/>
                <w:lang w:eastAsia="en-GB"/>
              </w:rPr>
              <w:t xml:space="preserve"> May 2022 </w:t>
            </w:r>
          </w:p>
        </w:tc>
        <w:tc>
          <w:tcPr>
            <w:tcW w:w="6327" w:type="dxa"/>
          </w:tcPr>
          <w:p w14:paraId="5BF88F2B"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Advertise Procurement for Expressions of Interest</w:t>
            </w:r>
          </w:p>
        </w:tc>
      </w:tr>
      <w:tr w:rsidR="00FC4741" w:rsidRPr="003F42FD" w14:paraId="220E6B3E" w14:textId="77777777" w:rsidTr="00461C5A">
        <w:tc>
          <w:tcPr>
            <w:tcW w:w="2689" w:type="dxa"/>
          </w:tcPr>
          <w:p w14:paraId="392BAD73"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3</w:t>
            </w:r>
            <w:r w:rsidRPr="003F42FD">
              <w:rPr>
                <w:rFonts w:cs="Arial"/>
                <w:bCs/>
                <w:szCs w:val="24"/>
                <w:vertAlign w:val="superscript"/>
                <w:lang w:eastAsia="en-GB"/>
              </w:rPr>
              <w:t>rd</w:t>
            </w:r>
            <w:r w:rsidRPr="003F42FD">
              <w:rPr>
                <w:rFonts w:cs="Arial"/>
                <w:bCs/>
                <w:szCs w:val="24"/>
                <w:lang w:eastAsia="en-GB"/>
              </w:rPr>
              <w:t xml:space="preserve"> May 2022 to 2</w:t>
            </w:r>
            <w:r w:rsidRPr="003F42FD">
              <w:rPr>
                <w:rFonts w:cs="Arial"/>
                <w:bCs/>
                <w:szCs w:val="24"/>
                <w:vertAlign w:val="superscript"/>
                <w:lang w:eastAsia="en-GB"/>
              </w:rPr>
              <w:t>nd</w:t>
            </w:r>
            <w:r w:rsidRPr="003F42FD">
              <w:rPr>
                <w:rFonts w:cs="Arial"/>
                <w:bCs/>
                <w:szCs w:val="24"/>
                <w:lang w:eastAsia="en-GB"/>
              </w:rPr>
              <w:t xml:space="preserve"> June 2022 </w:t>
            </w:r>
          </w:p>
        </w:tc>
        <w:tc>
          <w:tcPr>
            <w:tcW w:w="6327" w:type="dxa"/>
          </w:tcPr>
          <w:p w14:paraId="5BA9F44F"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Receive Pre-Tender Selection Questionnaires</w:t>
            </w:r>
          </w:p>
        </w:tc>
      </w:tr>
      <w:tr w:rsidR="00FC4741" w:rsidRPr="003F42FD" w14:paraId="3F919FBC" w14:textId="77777777" w:rsidTr="00461C5A">
        <w:tc>
          <w:tcPr>
            <w:tcW w:w="2689" w:type="dxa"/>
          </w:tcPr>
          <w:p w14:paraId="1E34FC9F"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3</w:t>
            </w:r>
            <w:r w:rsidRPr="003F42FD">
              <w:rPr>
                <w:rFonts w:cs="Arial"/>
                <w:bCs/>
                <w:szCs w:val="24"/>
                <w:vertAlign w:val="superscript"/>
                <w:lang w:eastAsia="en-GB"/>
              </w:rPr>
              <w:t>rd</w:t>
            </w:r>
            <w:r w:rsidRPr="003F42FD">
              <w:rPr>
                <w:rFonts w:cs="Arial"/>
                <w:bCs/>
                <w:szCs w:val="24"/>
                <w:lang w:eastAsia="en-GB"/>
              </w:rPr>
              <w:t xml:space="preserve"> June 2022 to 24</w:t>
            </w:r>
            <w:r w:rsidRPr="003F42FD">
              <w:rPr>
                <w:rFonts w:cs="Arial"/>
                <w:bCs/>
                <w:szCs w:val="24"/>
                <w:vertAlign w:val="superscript"/>
                <w:lang w:eastAsia="en-GB"/>
              </w:rPr>
              <w:t>th</w:t>
            </w:r>
            <w:r w:rsidRPr="003F42FD">
              <w:rPr>
                <w:rFonts w:cs="Arial"/>
                <w:bCs/>
                <w:szCs w:val="24"/>
                <w:lang w:eastAsia="en-GB"/>
              </w:rPr>
              <w:t xml:space="preserve"> June 2022 </w:t>
            </w:r>
          </w:p>
        </w:tc>
        <w:tc>
          <w:tcPr>
            <w:tcW w:w="6327" w:type="dxa"/>
          </w:tcPr>
          <w:p w14:paraId="71CC2418"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Evaluate Pre-Tender Selection Questionnaires</w:t>
            </w:r>
          </w:p>
        </w:tc>
      </w:tr>
      <w:tr w:rsidR="00FC4741" w:rsidRPr="003F42FD" w14:paraId="2371426A" w14:textId="77777777" w:rsidTr="00461C5A">
        <w:tc>
          <w:tcPr>
            <w:tcW w:w="2689" w:type="dxa"/>
          </w:tcPr>
          <w:p w14:paraId="50A9C23E"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27</w:t>
            </w:r>
            <w:r w:rsidRPr="003F42FD">
              <w:rPr>
                <w:rFonts w:cs="Arial"/>
                <w:bCs/>
                <w:szCs w:val="24"/>
                <w:vertAlign w:val="superscript"/>
                <w:lang w:eastAsia="en-GB"/>
              </w:rPr>
              <w:t>th</w:t>
            </w:r>
            <w:r w:rsidRPr="003F42FD">
              <w:rPr>
                <w:rFonts w:cs="Arial"/>
                <w:bCs/>
                <w:szCs w:val="24"/>
                <w:lang w:eastAsia="en-GB"/>
              </w:rPr>
              <w:t xml:space="preserve"> June 2022</w:t>
            </w:r>
          </w:p>
        </w:tc>
        <w:tc>
          <w:tcPr>
            <w:tcW w:w="6327" w:type="dxa"/>
          </w:tcPr>
          <w:p w14:paraId="1B8DA14A"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 xml:space="preserve">Issue Invitation to Tender  </w:t>
            </w:r>
          </w:p>
        </w:tc>
      </w:tr>
      <w:tr w:rsidR="00FC4741" w:rsidRPr="003F42FD" w14:paraId="4E4AD304" w14:textId="77777777" w:rsidTr="00461C5A">
        <w:tc>
          <w:tcPr>
            <w:tcW w:w="2689" w:type="dxa"/>
          </w:tcPr>
          <w:p w14:paraId="4B0DAEA1"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22</w:t>
            </w:r>
            <w:r w:rsidRPr="003F42FD">
              <w:rPr>
                <w:rFonts w:cs="Arial"/>
                <w:bCs/>
                <w:szCs w:val="24"/>
                <w:vertAlign w:val="superscript"/>
                <w:lang w:eastAsia="en-GB"/>
              </w:rPr>
              <w:t>nd</w:t>
            </w:r>
            <w:r w:rsidRPr="003F42FD">
              <w:rPr>
                <w:rFonts w:cs="Arial"/>
                <w:bCs/>
                <w:szCs w:val="24"/>
                <w:lang w:eastAsia="en-GB"/>
              </w:rPr>
              <w:t xml:space="preserve"> July 2022</w:t>
            </w:r>
          </w:p>
        </w:tc>
        <w:tc>
          <w:tcPr>
            <w:tcW w:w="6327" w:type="dxa"/>
          </w:tcPr>
          <w:p w14:paraId="66F13353"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Receive Tenders</w:t>
            </w:r>
          </w:p>
        </w:tc>
      </w:tr>
      <w:tr w:rsidR="00FC4741" w:rsidRPr="003F42FD" w14:paraId="53503609" w14:textId="77777777" w:rsidTr="00461C5A">
        <w:tc>
          <w:tcPr>
            <w:tcW w:w="2689" w:type="dxa"/>
          </w:tcPr>
          <w:p w14:paraId="278E0E75"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25</w:t>
            </w:r>
            <w:r w:rsidRPr="003F42FD">
              <w:rPr>
                <w:rFonts w:cs="Arial"/>
                <w:bCs/>
                <w:szCs w:val="24"/>
                <w:vertAlign w:val="superscript"/>
                <w:lang w:eastAsia="en-GB"/>
              </w:rPr>
              <w:t>th</w:t>
            </w:r>
            <w:r w:rsidRPr="003F42FD">
              <w:rPr>
                <w:rFonts w:cs="Arial"/>
                <w:bCs/>
                <w:szCs w:val="24"/>
                <w:lang w:eastAsia="en-GB"/>
              </w:rPr>
              <w:t xml:space="preserve"> July 2022 to 26</w:t>
            </w:r>
            <w:r w:rsidRPr="003F42FD">
              <w:rPr>
                <w:rFonts w:cs="Arial"/>
                <w:bCs/>
                <w:szCs w:val="24"/>
                <w:vertAlign w:val="superscript"/>
                <w:lang w:eastAsia="en-GB"/>
              </w:rPr>
              <w:t>th</w:t>
            </w:r>
            <w:r w:rsidRPr="003F42FD">
              <w:rPr>
                <w:rFonts w:cs="Arial"/>
                <w:bCs/>
                <w:szCs w:val="24"/>
                <w:lang w:eastAsia="en-GB"/>
              </w:rPr>
              <w:t xml:space="preserve"> August 2022</w:t>
            </w:r>
          </w:p>
        </w:tc>
        <w:tc>
          <w:tcPr>
            <w:tcW w:w="6327" w:type="dxa"/>
          </w:tcPr>
          <w:p w14:paraId="0FCD555B"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Evaluate Tenders</w:t>
            </w:r>
          </w:p>
        </w:tc>
      </w:tr>
      <w:tr w:rsidR="00FC4741" w:rsidRPr="003F42FD" w14:paraId="12161539" w14:textId="77777777" w:rsidTr="00461C5A">
        <w:tc>
          <w:tcPr>
            <w:tcW w:w="2689" w:type="dxa"/>
          </w:tcPr>
          <w:p w14:paraId="4735D707"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9</w:t>
            </w:r>
            <w:r w:rsidRPr="003F42FD">
              <w:rPr>
                <w:rFonts w:cs="Arial"/>
                <w:bCs/>
                <w:szCs w:val="24"/>
                <w:vertAlign w:val="superscript"/>
                <w:lang w:eastAsia="en-GB"/>
              </w:rPr>
              <w:t>th</w:t>
            </w:r>
            <w:r w:rsidRPr="003F42FD">
              <w:rPr>
                <w:rFonts w:cs="Arial"/>
                <w:bCs/>
                <w:szCs w:val="24"/>
                <w:lang w:eastAsia="en-GB"/>
              </w:rPr>
              <w:t xml:space="preserve"> September 2022</w:t>
            </w:r>
          </w:p>
        </w:tc>
        <w:tc>
          <w:tcPr>
            <w:tcW w:w="6327" w:type="dxa"/>
          </w:tcPr>
          <w:p w14:paraId="778706A0"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Contract Award Decision</w:t>
            </w:r>
          </w:p>
        </w:tc>
      </w:tr>
      <w:tr w:rsidR="00FC4741" w:rsidRPr="003F42FD" w14:paraId="6455C1AF" w14:textId="77777777" w:rsidTr="00461C5A">
        <w:tc>
          <w:tcPr>
            <w:tcW w:w="2689" w:type="dxa"/>
          </w:tcPr>
          <w:p w14:paraId="7438F12A"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12</w:t>
            </w:r>
            <w:r w:rsidRPr="003F42FD">
              <w:rPr>
                <w:rFonts w:cs="Arial"/>
                <w:bCs/>
                <w:szCs w:val="24"/>
                <w:vertAlign w:val="superscript"/>
                <w:lang w:eastAsia="en-GB"/>
              </w:rPr>
              <w:t>th</w:t>
            </w:r>
            <w:r w:rsidRPr="003F42FD">
              <w:rPr>
                <w:rFonts w:cs="Arial"/>
                <w:bCs/>
                <w:szCs w:val="24"/>
                <w:lang w:eastAsia="en-GB"/>
              </w:rPr>
              <w:t xml:space="preserve"> September 2022</w:t>
            </w:r>
          </w:p>
        </w:tc>
        <w:tc>
          <w:tcPr>
            <w:tcW w:w="6327" w:type="dxa"/>
          </w:tcPr>
          <w:p w14:paraId="4788C0B5"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Issue notice of award and commence standstill period</w:t>
            </w:r>
          </w:p>
        </w:tc>
      </w:tr>
      <w:tr w:rsidR="00FC4741" w:rsidRPr="003F42FD" w14:paraId="41527178" w14:textId="77777777" w:rsidTr="00461C5A">
        <w:tc>
          <w:tcPr>
            <w:tcW w:w="2689" w:type="dxa"/>
          </w:tcPr>
          <w:p w14:paraId="48F43FEC"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26</w:t>
            </w:r>
            <w:r w:rsidRPr="003F42FD">
              <w:rPr>
                <w:rFonts w:cs="Arial"/>
                <w:bCs/>
                <w:szCs w:val="24"/>
                <w:vertAlign w:val="superscript"/>
                <w:lang w:eastAsia="en-GB"/>
              </w:rPr>
              <w:t>th</w:t>
            </w:r>
            <w:r w:rsidRPr="003F42FD">
              <w:rPr>
                <w:rFonts w:cs="Arial"/>
                <w:bCs/>
                <w:szCs w:val="24"/>
                <w:lang w:eastAsia="en-GB"/>
              </w:rPr>
              <w:t xml:space="preserve"> September 2022 to 7</w:t>
            </w:r>
            <w:r w:rsidRPr="003F42FD">
              <w:rPr>
                <w:rFonts w:cs="Arial"/>
                <w:bCs/>
                <w:szCs w:val="24"/>
                <w:vertAlign w:val="superscript"/>
                <w:lang w:eastAsia="en-GB"/>
              </w:rPr>
              <w:t>th</w:t>
            </w:r>
            <w:r w:rsidRPr="003F42FD">
              <w:rPr>
                <w:rFonts w:cs="Arial"/>
                <w:bCs/>
                <w:szCs w:val="24"/>
                <w:lang w:eastAsia="en-GB"/>
              </w:rPr>
              <w:t xml:space="preserve"> November 2022</w:t>
            </w:r>
          </w:p>
        </w:tc>
        <w:tc>
          <w:tcPr>
            <w:tcW w:w="6327" w:type="dxa"/>
          </w:tcPr>
          <w:p w14:paraId="5D452968"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Contract Mobilisation, Transition and Take-On Period</w:t>
            </w:r>
          </w:p>
        </w:tc>
      </w:tr>
      <w:tr w:rsidR="00FC4741" w14:paraId="17B6B8C6" w14:textId="77777777" w:rsidTr="00461C5A">
        <w:tc>
          <w:tcPr>
            <w:tcW w:w="2689" w:type="dxa"/>
          </w:tcPr>
          <w:p w14:paraId="12D7D7A5" w14:textId="77777777" w:rsidR="00FC4741" w:rsidRPr="003F42FD" w:rsidRDefault="00FC4741" w:rsidP="00461C5A">
            <w:pPr>
              <w:autoSpaceDE w:val="0"/>
              <w:autoSpaceDN w:val="0"/>
              <w:adjustRightInd w:val="0"/>
              <w:rPr>
                <w:rFonts w:cs="Arial"/>
                <w:bCs/>
                <w:szCs w:val="24"/>
                <w:lang w:eastAsia="en-GB"/>
              </w:rPr>
            </w:pPr>
            <w:r w:rsidRPr="003F42FD">
              <w:rPr>
                <w:rFonts w:cs="Arial"/>
                <w:bCs/>
                <w:szCs w:val="24"/>
                <w:lang w:eastAsia="en-GB"/>
              </w:rPr>
              <w:t>8</w:t>
            </w:r>
            <w:r w:rsidRPr="003F42FD">
              <w:rPr>
                <w:rFonts w:cs="Arial"/>
                <w:bCs/>
                <w:szCs w:val="24"/>
                <w:vertAlign w:val="superscript"/>
                <w:lang w:eastAsia="en-GB"/>
              </w:rPr>
              <w:t>th</w:t>
            </w:r>
            <w:r w:rsidRPr="003F42FD">
              <w:rPr>
                <w:rFonts w:cs="Arial"/>
                <w:bCs/>
                <w:szCs w:val="24"/>
                <w:lang w:eastAsia="en-GB"/>
              </w:rPr>
              <w:t xml:space="preserve"> November 2022</w:t>
            </w:r>
          </w:p>
        </w:tc>
        <w:tc>
          <w:tcPr>
            <w:tcW w:w="6327" w:type="dxa"/>
          </w:tcPr>
          <w:p w14:paraId="7D78A09E" w14:textId="77777777" w:rsidR="00FC4741" w:rsidRPr="00B832E0" w:rsidRDefault="00FC4741" w:rsidP="00461C5A">
            <w:pPr>
              <w:autoSpaceDE w:val="0"/>
              <w:autoSpaceDN w:val="0"/>
              <w:adjustRightInd w:val="0"/>
              <w:rPr>
                <w:rFonts w:cs="Arial"/>
                <w:bCs/>
                <w:szCs w:val="24"/>
                <w:lang w:eastAsia="en-GB"/>
              </w:rPr>
            </w:pPr>
            <w:r w:rsidRPr="003F42FD">
              <w:rPr>
                <w:rFonts w:cs="Arial"/>
                <w:bCs/>
                <w:szCs w:val="24"/>
                <w:lang w:eastAsia="en-GB"/>
              </w:rPr>
              <w:t>Contract Start Date</w:t>
            </w:r>
            <w:r>
              <w:rPr>
                <w:rFonts w:cs="Arial"/>
                <w:bCs/>
                <w:szCs w:val="24"/>
                <w:lang w:eastAsia="en-GB"/>
              </w:rPr>
              <w:t xml:space="preserve"> </w:t>
            </w:r>
          </w:p>
        </w:tc>
      </w:tr>
    </w:tbl>
    <w:p w14:paraId="1EEA49F2" w14:textId="77777777" w:rsidR="0063521A" w:rsidRDefault="0063521A" w:rsidP="0063521A">
      <w:pPr>
        <w:pStyle w:val="Heading3"/>
        <w:spacing w:before="480" w:after="240"/>
      </w:pPr>
      <w:r>
        <w:t>Legal Implications</w:t>
      </w:r>
    </w:p>
    <w:p w14:paraId="2109C110" w14:textId="64004219" w:rsidR="00906747" w:rsidRPr="00906747" w:rsidRDefault="00906747" w:rsidP="00906747">
      <w:pPr>
        <w:autoSpaceDE w:val="0"/>
        <w:autoSpaceDN w:val="0"/>
        <w:adjustRightInd w:val="0"/>
        <w:jc w:val="both"/>
        <w:rPr>
          <w:rFonts w:cs="Arial"/>
          <w:szCs w:val="24"/>
          <w:lang w:eastAsia="en-GB"/>
        </w:rPr>
      </w:pPr>
      <w:r w:rsidRPr="00906747">
        <w:rPr>
          <w:rFonts w:cs="Arial"/>
          <w:szCs w:val="24"/>
          <w:lang w:eastAsia="en-GB"/>
        </w:rPr>
        <w:t xml:space="preserve">Under Section 3 of the Local Government Act 1999, Local Authorities are under a general Duty to secure Best Value services.  The duty is to “make arrangements to secure continuous improvement in the way in which functions are exercised, having regard to a combination of economy, efficiency and effectiveness.” The recommendations in this report will assist with the achievement of Best Value.   </w:t>
      </w:r>
    </w:p>
    <w:p w14:paraId="0E403EFC" w14:textId="77777777" w:rsidR="00906747" w:rsidRPr="00906747" w:rsidRDefault="00906747" w:rsidP="00906747">
      <w:pPr>
        <w:autoSpaceDE w:val="0"/>
        <w:autoSpaceDN w:val="0"/>
        <w:adjustRightInd w:val="0"/>
        <w:jc w:val="both"/>
        <w:rPr>
          <w:rFonts w:cs="Arial"/>
          <w:szCs w:val="24"/>
          <w:lang w:eastAsia="en-GB"/>
        </w:rPr>
      </w:pPr>
    </w:p>
    <w:p w14:paraId="66D6DBE7" w14:textId="06DC9CB1" w:rsidR="00724693" w:rsidRDefault="00906747" w:rsidP="00906747">
      <w:pPr>
        <w:autoSpaceDE w:val="0"/>
        <w:autoSpaceDN w:val="0"/>
        <w:adjustRightInd w:val="0"/>
        <w:jc w:val="both"/>
        <w:rPr>
          <w:rFonts w:cs="Arial"/>
          <w:szCs w:val="24"/>
          <w:lang w:eastAsia="en-GB"/>
        </w:rPr>
      </w:pPr>
      <w:r w:rsidRPr="00906747">
        <w:rPr>
          <w:rFonts w:cs="Arial"/>
          <w:szCs w:val="24"/>
          <w:lang w:eastAsia="en-GB"/>
        </w:rPr>
        <w:t xml:space="preserve">The Services to be procured are subject to the Public Contract Regulations 2015.  As the value of the proposed service is higher than the current UK financial threshold for such services, the procurement arrangements and award of contract are subject to the full application of the Public Contracts Regulations 2015. </w:t>
      </w:r>
    </w:p>
    <w:p w14:paraId="4F04FD83" w14:textId="77777777" w:rsidR="00724693" w:rsidRDefault="00724693" w:rsidP="00906747">
      <w:pPr>
        <w:autoSpaceDE w:val="0"/>
        <w:autoSpaceDN w:val="0"/>
        <w:adjustRightInd w:val="0"/>
        <w:jc w:val="both"/>
        <w:rPr>
          <w:rFonts w:cs="Arial"/>
          <w:szCs w:val="24"/>
          <w:lang w:eastAsia="en-GB"/>
        </w:rPr>
      </w:pPr>
    </w:p>
    <w:p w14:paraId="51BCF78D" w14:textId="200CEE65" w:rsidR="00906747" w:rsidRPr="00906747" w:rsidRDefault="00724693" w:rsidP="00906747">
      <w:pPr>
        <w:autoSpaceDE w:val="0"/>
        <w:autoSpaceDN w:val="0"/>
        <w:adjustRightInd w:val="0"/>
        <w:jc w:val="both"/>
        <w:rPr>
          <w:rFonts w:cs="Arial"/>
          <w:szCs w:val="24"/>
          <w:lang w:eastAsia="en-GB"/>
        </w:rPr>
      </w:pPr>
      <w:r w:rsidRPr="00724693">
        <w:rPr>
          <w:rFonts w:cs="Arial"/>
          <w:szCs w:val="24"/>
          <w:lang w:eastAsia="en-GB"/>
        </w:rPr>
        <w:t>The Council can conduct a competitive tendering exercise using one of the prescribed procedures under the Public Contracts Regulations 2015 or call off services under a compliant public framework agreement in compliance with the rules set out in the framework agreement.</w:t>
      </w:r>
    </w:p>
    <w:p w14:paraId="5971CA4B" w14:textId="77777777" w:rsidR="00906747" w:rsidRPr="00906747" w:rsidRDefault="00906747" w:rsidP="00906747">
      <w:pPr>
        <w:autoSpaceDE w:val="0"/>
        <w:autoSpaceDN w:val="0"/>
        <w:adjustRightInd w:val="0"/>
        <w:jc w:val="both"/>
        <w:rPr>
          <w:rFonts w:cs="Arial"/>
          <w:szCs w:val="24"/>
          <w:lang w:eastAsia="en-GB"/>
        </w:rPr>
      </w:pPr>
    </w:p>
    <w:p w14:paraId="4D0EF4DA" w14:textId="2A09D33A" w:rsidR="008D6A52" w:rsidRDefault="00906747" w:rsidP="00906747">
      <w:pPr>
        <w:autoSpaceDE w:val="0"/>
        <w:autoSpaceDN w:val="0"/>
        <w:adjustRightInd w:val="0"/>
        <w:jc w:val="both"/>
        <w:rPr>
          <w:rFonts w:cs="Arial"/>
          <w:szCs w:val="24"/>
          <w:lang w:eastAsia="en-GB"/>
        </w:rPr>
      </w:pPr>
      <w:r w:rsidRPr="00906747">
        <w:rPr>
          <w:rFonts w:cs="Arial"/>
          <w:szCs w:val="24"/>
          <w:lang w:eastAsia="en-GB"/>
        </w:rPr>
        <w:t xml:space="preserve">The award of any eventual contract(s) is also subject to the Council’s own </w:t>
      </w:r>
      <w:r w:rsidR="00363C0D">
        <w:rPr>
          <w:rFonts w:cs="Arial"/>
          <w:szCs w:val="24"/>
          <w:lang w:eastAsia="en-GB"/>
        </w:rPr>
        <w:t>Contract Procedure Rules</w:t>
      </w:r>
      <w:r w:rsidRPr="00906747">
        <w:rPr>
          <w:rFonts w:cs="Arial"/>
          <w:szCs w:val="24"/>
          <w:lang w:eastAsia="en-GB"/>
        </w:rPr>
        <w:t xml:space="preserve"> in respect of High Value contracts and Financial Regulations. As a result, approval will be required for the award of the contract(s) in accordance with </w:t>
      </w:r>
      <w:r w:rsidR="0034675F">
        <w:rPr>
          <w:rFonts w:cs="Arial"/>
          <w:szCs w:val="24"/>
          <w:lang w:eastAsia="en-GB"/>
        </w:rPr>
        <w:t>Contract Procedure Rules and Fin</w:t>
      </w:r>
      <w:r w:rsidR="008D6A52">
        <w:rPr>
          <w:rFonts w:cs="Arial"/>
          <w:szCs w:val="24"/>
          <w:lang w:eastAsia="en-GB"/>
        </w:rPr>
        <w:t>ancial Regulations.</w:t>
      </w:r>
    </w:p>
    <w:p w14:paraId="235659C5" w14:textId="5873F2D0" w:rsidR="009B0DC5" w:rsidRDefault="009B0DC5" w:rsidP="00906747">
      <w:pPr>
        <w:autoSpaceDE w:val="0"/>
        <w:autoSpaceDN w:val="0"/>
        <w:adjustRightInd w:val="0"/>
        <w:jc w:val="both"/>
        <w:rPr>
          <w:rFonts w:cs="Arial"/>
          <w:szCs w:val="24"/>
          <w:lang w:eastAsia="en-GB"/>
        </w:rPr>
      </w:pPr>
    </w:p>
    <w:p w14:paraId="1FCCDA19" w14:textId="77777777" w:rsidR="008F1BA0" w:rsidRDefault="008F1BA0" w:rsidP="008F1BA0">
      <w:pPr>
        <w:autoSpaceDE w:val="0"/>
        <w:autoSpaceDN w:val="0"/>
        <w:adjustRightInd w:val="0"/>
        <w:jc w:val="both"/>
        <w:rPr>
          <w:rFonts w:cs="Arial"/>
          <w:szCs w:val="24"/>
          <w:lang w:eastAsia="en-GB"/>
        </w:rPr>
      </w:pPr>
      <w:r w:rsidRPr="00BD4C1E">
        <w:t xml:space="preserve">Officers are currently of the opinion that the Transfer of Undertaking (Protection of Employment) Regulations 2006, as amended, (“TUPE”) shall not apply to </w:t>
      </w:r>
      <w:r>
        <w:t>a con</w:t>
      </w:r>
      <w:r w:rsidRPr="00BD4C1E">
        <w:t>tract awarded for the services in scope.</w:t>
      </w:r>
      <w:r>
        <w:t xml:space="preserve">   </w:t>
      </w:r>
    </w:p>
    <w:p w14:paraId="3F8B0885" w14:textId="6C3AFD9E" w:rsidR="0063521A" w:rsidRDefault="009B0DC5" w:rsidP="0063521A">
      <w:pPr>
        <w:pStyle w:val="Heading3"/>
        <w:spacing w:before="480" w:after="240"/>
      </w:pPr>
      <w:r>
        <w:t>F</w:t>
      </w:r>
      <w:r w:rsidR="0063521A">
        <w:t>inancial Implications</w:t>
      </w:r>
    </w:p>
    <w:p w14:paraId="53D2BE64" w14:textId="582600FE" w:rsidR="007D0703" w:rsidRDefault="007D0703" w:rsidP="007D0703">
      <w:pPr>
        <w:jc w:val="both"/>
      </w:pPr>
      <w:r>
        <w:t xml:space="preserve">Local taxation and Parking </w:t>
      </w:r>
      <w:r w:rsidR="004D59E8">
        <w:t xml:space="preserve">Control Notice (PCN) </w:t>
      </w:r>
      <w:r>
        <w:t xml:space="preserve">income </w:t>
      </w:r>
      <w:r w:rsidR="004D59E8">
        <w:t xml:space="preserve">comprise a substantial proportion of </w:t>
      </w:r>
      <w:r>
        <w:t>the Council</w:t>
      </w:r>
      <w:r w:rsidR="0008143E">
        <w:t>’</w:t>
      </w:r>
      <w:r>
        <w:t xml:space="preserve">s total annual budget. </w:t>
      </w:r>
      <w:r w:rsidR="004D59E8">
        <w:t xml:space="preserve"> </w:t>
      </w:r>
      <w:r>
        <w:t>With other income sources diminishing and increas</w:t>
      </w:r>
      <w:r w:rsidR="004D59E8">
        <w:t xml:space="preserve">ed dependency on collection of local income, </w:t>
      </w:r>
      <w:r>
        <w:t xml:space="preserve">appropriate resources </w:t>
      </w:r>
      <w:r w:rsidR="0008143E">
        <w:t xml:space="preserve">need to be deployed to </w:t>
      </w:r>
      <w:r>
        <w:t xml:space="preserve">guarantee income stability and </w:t>
      </w:r>
      <w:r w:rsidR="0008143E">
        <w:t xml:space="preserve">maintain </w:t>
      </w:r>
      <w:r>
        <w:t>the high in</w:t>
      </w:r>
      <w:r w:rsidR="0008143E">
        <w:t>-</w:t>
      </w:r>
      <w:r>
        <w:t xml:space="preserve">year collection rates </w:t>
      </w:r>
      <w:r w:rsidR="0008143E">
        <w:t xml:space="preserve">historically achieved. </w:t>
      </w:r>
      <w:r>
        <w:t xml:space="preserve">Approving this report will ensure we achieve these objectives.  </w:t>
      </w:r>
    </w:p>
    <w:p w14:paraId="56DEE7A1" w14:textId="77777777" w:rsidR="007D0703" w:rsidRDefault="007D0703" w:rsidP="005E1D8C">
      <w:pPr>
        <w:jc w:val="both"/>
      </w:pPr>
    </w:p>
    <w:p w14:paraId="168572E9" w14:textId="13F867A2" w:rsidR="0063521A" w:rsidRDefault="004420D6" w:rsidP="00A0722D">
      <w:pPr>
        <w:jc w:val="both"/>
      </w:pPr>
      <w:r>
        <w:t>As the greater proportion of the services in scope are chargeable to a debtor</w:t>
      </w:r>
      <w:r w:rsidR="005E1D8C">
        <w:t xml:space="preserve"> and not Harrow Council</w:t>
      </w:r>
      <w:r>
        <w:t xml:space="preserve">, there is not currently anticipated to be a financial impact upon revenue budgets, for which a financial provision already exists </w:t>
      </w:r>
      <w:r w:rsidR="005E1D8C">
        <w:t>with</w:t>
      </w:r>
      <w:r>
        <w:t xml:space="preserve">in service budgets. </w:t>
      </w:r>
    </w:p>
    <w:p w14:paraId="4FDC1242" w14:textId="77777777" w:rsidR="0063521A" w:rsidRDefault="0063521A" w:rsidP="0063521A">
      <w:pPr>
        <w:pStyle w:val="Heading3"/>
        <w:spacing w:before="480" w:after="240"/>
      </w:pPr>
      <w:r w:rsidRPr="004A2543">
        <w:t>Equalities implications</w:t>
      </w:r>
      <w:r>
        <w:t xml:space="preserve"> </w:t>
      </w:r>
      <w:r w:rsidRPr="00333FAA">
        <w:t>/</w:t>
      </w:r>
      <w:r>
        <w:t xml:space="preserve"> </w:t>
      </w:r>
      <w:r w:rsidRPr="00333FAA">
        <w:t>Public Sector Equality Duty</w:t>
      </w:r>
    </w:p>
    <w:p w14:paraId="48B55980" w14:textId="77777777" w:rsidR="007D48A0" w:rsidRDefault="007D48A0" w:rsidP="00542FE2">
      <w:pPr>
        <w:jc w:val="both"/>
      </w:pPr>
      <w:r>
        <w:t xml:space="preserve">The public sector equality duty, as set out in section 149 of the Equalities Act 2010, requires the Council, when exercising its functions, to have “due regard” to the need to eliminate discrimination, harassment and victimisation and other conduct prohibited under the Act, and to advance equality of opportunity and foster good relations between those who have a “protected characteristic” and those who do not share that protected characteristic. </w:t>
      </w:r>
    </w:p>
    <w:p w14:paraId="70375013" w14:textId="77777777" w:rsidR="007D48A0" w:rsidRDefault="007D48A0" w:rsidP="00542FE2">
      <w:pPr>
        <w:jc w:val="both"/>
      </w:pPr>
    </w:p>
    <w:p w14:paraId="1507DB2C" w14:textId="77777777" w:rsidR="007D48A0" w:rsidRDefault="007D48A0" w:rsidP="00542FE2">
      <w:pPr>
        <w:jc w:val="both"/>
      </w:pPr>
      <w:r>
        <w:t xml:space="preserve">The protected characteristics are age, disability, gender reassignment, marriage and civil partnership, pregnancy and maternity, race, religion or belief, sex, and sexual orientation. </w:t>
      </w:r>
    </w:p>
    <w:p w14:paraId="696FDA9C" w14:textId="77777777" w:rsidR="007D48A0" w:rsidRDefault="007D48A0" w:rsidP="00542FE2">
      <w:pPr>
        <w:jc w:val="both"/>
      </w:pPr>
    </w:p>
    <w:p w14:paraId="03227249" w14:textId="05A2FC38" w:rsidR="007D48A0" w:rsidRDefault="007D48A0" w:rsidP="00542FE2">
      <w:pPr>
        <w:jc w:val="both"/>
      </w:pPr>
      <w:r>
        <w:t>This includes enquiring into whether and how a proposed decision disproportionately affects people with a protected characteristic and the need to consider taking steps to meet the needs of persons who share a protected characteristic that are different from the needs of persons who do not share it.</w:t>
      </w:r>
      <w:r w:rsidR="00E10759">
        <w:t xml:space="preserve"> </w:t>
      </w:r>
      <w:r>
        <w:t xml:space="preserve">This includes removing or minimising disadvantages suffered by persons who share a protected characteristic that are connected to that characteristic. </w:t>
      </w:r>
    </w:p>
    <w:p w14:paraId="5B87054D" w14:textId="77777777" w:rsidR="007D48A0" w:rsidRDefault="007D48A0" w:rsidP="00542FE2">
      <w:pPr>
        <w:jc w:val="both"/>
      </w:pPr>
    </w:p>
    <w:p w14:paraId="65E35050" w14:textId="77777777" w:rsidR="007D48A0" w:rsidRDefault="007D48A0" w:rsidP="00542FE2">
      <w:pPr>
        <w:jc w:val="both"/>
      </w:pPr>
      <w:r>
        <w:t xml:space="preserve">In considering the recommendations submitted within this report, a predictive Equality Impact Assessment has been undertaken to ensure that any potential adverse impact to groups that share a protected characteristic has been identified, evaluated and mitigated wherever possible.  This has been included at Appendix A to this report.   </w:t>
      </w:r>
    </w:p>
    <w:p w14:paraId="5C8CE8C6" w14:textId="77777777" w:rsidR="007D48A0" w:rsidRDefault="007D48A0" w:rsidP="00542FE2">
      <w:pPr>
        <w:jc w:val="both"/>
      </w:pPr>
    </w:p>
    <w:p w14:paraId="24CADA5C" w14:textId="189B2CD7" w:rsidR="007D48A0" w:rsidRDefault="007D48A0" w:rsidP="00542FE2">
      <w:pPr>
        <w:jc w:val="both"/>
      </w:pPr>
      <w:r>
        <w:t>The analysis has not identified the potential for an adverse impact at this stage.  However, any equalities implications arising from the recommendations will continue to be considered and assessed as further data/information is obtained or becomes available during the procurement process.</w:t>
      </w:r>
    </w:p>
    <w:p w14:paraId="1527BA84" w14:textId="77777777" w:rsidR="0063521A" w:rsidRPr="009117F2" w:rsidRDefault="00BF3C07" w:rsidP="0063521A">
      <w:pPr>
        <w:pStyle w:val="Heading3"/>
        <w:spacing w:before="480" w:after="240"/>
        <w:ind w:left="0" w:firstLine="0"/>
        <w:rPr>
          <w:rFonts w:eastAsia="Arial"/>
          <w:b w:val="0"/>
          <w:bCs w:val="0"/>
          <w:color w:val="0000FF"/>
          <w:sz w:val="24"/>
          <w:szCs w:val="24"/>
        </w:rPr>
      </w:pPr>
      <w:r>
        <w:t>C</w:t>
      </w:r>
      <w:r w:rsidR="0063521A">
        <w:t>ouncil Priorities</w:t>
      </w:r>
    </w:p>
    <w:p w14:paraId="302B0B2F" w14:textId="77777777" w:rsidR="00DE6CF6" w:rsidRDefault="00DE6CF6" w:rsidP="00DE6CF6">
      <w:pPr>
        <w:jc w:val="both"/>
        <w:rPr>
          <w:rFonts w:cs="Arial"/>
          <w:szCs w:val="24"/>
          <w:lang w:val="en-US"/>
        </w:rPr>
      </w:pPr>
      <w:r>
        <w:rPr>
          <w:rFonts w:cs="Arial"/>
          <w:szCs w:val="24"/>
          <w:lang w:val="en-US"/>
        </w:rPr>
        <w:t>T</w:t>
      </w:r>
      <w:r w:rsidR="005E1D8C">
        <w:rPr>
          <w:rFonts w:cs="Arial"/>
          <w:szCs w:val="24"/>
          <w:lang w:val="en-US"/>
        </w:rPr>
        <w:t xml:space="preserve">enderers proposals for improving the environment and addressing climate change and tackling poverty and equality, shall be </w:t>
      </w:r>
      <w:r>
        <w:rPr>
          <w:rFonts w:cs="Arial"/>
          <w:szCs w:val="24"/>
          <w:lang w:val="en-US"/>
        </w:rPr>
        <w:t xml:space="preserve">sought and considered </w:t>
      </w:r>
      <w:r w:rsidR="005E1D8C">
        <w:rPr>
          <w:rFonts w:cs="Arial"/>
          <w:szCs w:val="24"/>
          <w:lang w:val="en-US"/>
        </w:rPr>
        <w:t>within the tender evaluation arrangements</w:t>
      </w:r>
      <w:r>
        <w:rPr>
          <w:rFonts w:cs="Arial"/>
          <w:szCs w:val="24"/>
          <w:lang w:val="en-US"/>
        </w:rPr>
        <w:t xml:space="preserve">.  </w:t>
      </w:r>
    </w:p>
    <w:p w14:paraId="2F5DE586" w14:textId="77777777" w:rsidR="00DE6CF6" w:rsidRDefault="00DE6CF6" w:rsidP="00DE6CF6">
      <w:pPr>
        <w:jc w:val="both"/>
        <w:rPr>
          <w:rFonts w:cs="Arial"/>
          <w:szCs w:val="24"/>
          <w:lang w:val="en-US"/>
        </w:rPr>
      </w:pPr>
      <w:r>
        <w:rPr>
          <w:rFonts w:cs="Arial"/>
          <w:szCs w:val="24"/>
          <w:lang w:val="en-US"/>
        </w:rPr>
        <w:t xml:space="preserve">Additionally, by virtue of the requirement for tenderers to submit social value proposals and these being considered within the tender evaluation arrangements also, it is anticipated that these may be used to support and facilitate a thriving economy through the preferred supplier(s).  </w:t>
      </w:r>
    </w:p>
    <w:p w14:paraId="403B08BE" w14:textId="5B3E6BA0" w:rsidR="0063521A" w:rsidRDefault="0063521A" w:rsidP="0063521A">
      <w:pPr>
        <w:pStyle w:val="Heading2"/>
        <w:spacing w:before="480" w:after="240"/>
      </w:pPr>
      <w:r>
        <w:t>Section 3 - Statutory Officer Clearance</w:t>
      </w:r>
    </w:p>
    <w:p w14:paraId="5467E5CC" w14:textId="77777777" w:rsidR="00823510" w:rsidRPr="00A66326" w:rsidRDefault="00823510" w:rsidP="007603A7">
      <w:pPr>
        <w:rPr>
          <w:sz w:val="28"/>
        </w:rPr>
      </w:pPr>
      <w:r w:rsidRPr="00A66326">
        <w:rPr>
          <w:b/>
          <w:sz w:val="28"/>
        </w:rPr>
        <w:t xml:space="preserve">Statutory Officer:  </w:t>
      </w:r>
      <w:r>
        <w:rPr>
          <w:b/>
          <w:sz w:val="28"/>
        </w:rPr>
        <w:t>Dawn Calvert</w:t>
      </w:r>
    </w:p>
    <w:p w14:paraId="30E7B6A6" w14:textId="77777777" w:rsidR="00823510" w:rsidRPr="00A66326" w:rsidRDefault="00823510" w:rsidP="007603A7">
      <w:r w:rsidRPr="00A66326">
        <w:t>Signed o</w:t>
      </w:r>
      <w:r>
        <w:t xml:space="preserve">ff by </w:t>
      </w:r>
      <w:r w:rsidRPr="00A66326">
        <w:t>the Chief Financial Officer</w:t>
      </w:r>
    </w:p>
    <w:p w14:paraId="4456DB97" w14:textId="5523F5C8" w:rsidR="00823510" w:rsidRPr="00A66326" w:rsidRDefault="00823510" w:rsidP="007603A7">
      <w:pPr>
        <w:spacing w:after="480"/>
        <w:rPr>
          <w:sz w:val="28"/>
        </w:rPr>
      </w:pPr>
      <w:r w:rsidRPr="00B679E6">
        <w:rPr>
          <w:b/>
          <w:sz w:val="28"/>
        </w:rPr>
        <w:t>Date:</w:t>
      </w:r>
      <w:r w:rsidRPr="00A66326">
        <w:rPr>
          <w:b/>
          <w:sz w:val="28"/>
        </w:rPr>
        <w:t xml:space="preserve">  </w:t>
      </w:r>
      <w:r w:rsidR="00961B5A">
        <w:rPr>
          <w:b/>
          <w:sz w:val="28"/>
        </w:rPr>
        <w:t>22</w:t>
      </w:r>
      <w:r>
        <w:rPr>
          <w:b/>
          <w:sz w:val="28"/>
        </w:rPr>
        <w:t xml:space="preserve"> February </w:t>
      </w:r>
      <w:r w:rsidRPr="004B6007">
        <w:rPr>
          <w:b/>
          <w:sz w:val="28"/>
        </w:rPr>
        <w:t>202</w:t>
      </w:r>
      <w:r>
        <w:rPr>
          <w:b/>
          <w:sz w:val="28"/>
        </w:rPr>
        <w:t>2</w:t>
      </w:r>
    </w:p>
    <w:p w14:paraId="53330F2A" w14:textId="4CB501EE" w:rsidR="00823510" w:rsidRPr="00A66326" w:rsidRDefault="00823510" w:rsidP="007603A7">
      <w:pPr>
        <w:rPr>
          <w:sz w:val="28"/>
        </w:rPr>
      </w:pPr>
      <w:r w:rsidRPr="00A66326">
        <w:rPr>
          <w:b/>
          <w:sz w:val="28"/>
        </w:rPr>
        <w:t xml:space="preserve">Statutory Officer:  </w:t>
      </w:r>
      <w:r w:rsidR="00611C67">
        <w:rPr>
          <w:b/>
          <w:sz w:val="28"/>
        </w:rPr>
        <w:t>Stephen Dorian</w:t>
      </w:r>
      <w:r w:rsidRPr="007A6F68">
        <w:rPr>
          <w:b/>
          <w:sz w:val="28"/>
        </w:rPr>
        <w:t xml:space="preserve"> </w:t>
      </w:r>
    </w:p>
    <w:p w14:paraId="68D999E5" w14:textId="77777777" w:rsidR="00823510" w:rsidRPr="00A66326" w:rsidRDefault="00823510" w:rsidP="007603A7">
      <w:r w:rsidRPr="00A66326">
        <w:t>Signed on behalf of</w:t>
      </w:r>
      <w:r>
        <w:t xml:space="preserve"> </w:t>
      </w:r>
      <w:r w:rsidRPr="00A66326">
        <w:t>the Monitoring Officer</w:t>
      </w:r>
    </w:p>
    <w:p w14:paraId="7EF1C5A6" w14:textId="67FBEC11" w:rsidR="00823510" w:rsidRPr="003313EA" w:rsidRDefault="00823510" w:rsidP="007603A7">
      <w:pPr>
        <w:spacing w:after="480"/>
        <w:rPr>
          <w:sz w:val="28"/>
        </w:rPr>
      </w:pPr>
      <w:r w:rsidRPr="00A66326">
        <w:rPr>
          <w:b/>
          <w:sz w:val="28"/>
        </w:rPr>
        <w:t xml:space="preserve">Date:  </w:t>
      </w:r>
      <w:r w:rsidR="0066693F">
        <w:rPr>
          <w:b/>
          <w:sz w:val="28"/>
        </w:rPr>
        <w:t>22</w:t>
      </w:r>
      <w:r>
        <w:rPr>
          <w:b/>
          <w:sz w:val="28"/>
        </w:rPr>
        <w:t xml:space="preserve"> February 2022</w:t>
      </w:r>
    </w:p>
    <w:p w14:paraId="1C385AE2" w14:textId="77777777" w:rsidR="00823510" w:rsidRPr="004B6007" w:rsidRDefault="00823510" w:rsidP="007603A7">
      <w:pPr>
        <w:rPr>
          <w:sz w:val="28"/>
        </w:rPr>
      </w:pPr>
      <w:r w:rsidRPr="004B6007">
        <w:rPr>
          <w:b/>
          <w:sz w:val="28"/>
        </w:rPr>
        <w:t>Chief Officer:  Charlie Stewart</w:t>
      </w:r>
    </w:p>
    <w:p w14:paraId="39034108" w14:textId="77777777" w:rsidR="00823510" w:rsidRPr="004B6007" w:rsidRDefault="00823510" w:rsidP="007603A7">
      <w:r w:rsidRPr="004B6007">
        <w:t>Signed off by the Corporate Director</w:t>
      </w:r>
    </w:p>
    <w:p w14:paraId="4CE29AD6" w14:textId="347A8531" w:rsidR="00823510" w:rsidRPr="00A66326" w:rsidRDefault="00823510" w:rsidP="007603A7">
      <w:pPr>
        <w:spacing w:after="480"/>
        <w:rPr>
          <w:sz w:val="28"/>
        </w:rPr>
      </w:pPr>
      <w:r w:rsidRPr="00B679E6">
        <w:rPr>
          <w:b/>
          <w:sz w:val="28"/>
        </w:rPr>
        <w:t>Date:</w:t>
      </w:r>
      <w:r w:rsidRPr="00A66326">
        <w:rPr>
          <w:b/>
          <w:sz w:val="28"/>
        </w:rPr>
        <w:t xml:space="preserve">  </w:t>
      </w:r>
      <w:r w:rsidR="00961B5A">
        <w:rPr>
          <w:b/>
          <w:sz w:val="28"/>
        </w:rPr>
        <w:t>22</w:t>
      </w:r>
      <w:r>
        <w:rPr>
          <w:b/>
          <w:sz w:val="28"/>
        </w:rPr>
        <w:t xml:space="preserve"> February</w:t>
      </w:r>
      <w:r w:rsidRPr="004B6007">
        <w:rPr>
          <w:b/>
          <w:sz w:val="28"/>
        </w:rPr>
        <w:t xml:space="preserve"> 202</w:t>
      </w:r>
      <w:r>
        <w:rPr>
          <w:b/>
          <w:sz w:val="28"/>
        </w:rPr>
        <w:t>2</w:t>
      </w:r>
    </w:p>
    <w:p w14:paraId="2C5ACFCC" w14:textId="77777777" w:rsidR="00823510" w:rsidRPr="00A66326" w:rsidRDefault="00823510" w:rsidP="007603A7">
      <w:pPr>
        <w:rPr>
          <w:sz w:val="28"/>
        </w:rPr>
      </w:pPr>
      <w:r>
        <w:rPr>
          <w:b/>
          <w:sz w:val="28"/>
        </w:rPr>
        <w:t>Head of Procurement</w:t>
      </w:r>
      <w:r w:rsidRPr="00A66326">
        <w:rPr>
          <w:b/>
          <w:sz w:val="28"/>
        </w:rPr>
        <w:t xml:space="preserve">:  </w:t>
      </w:r>
      <w:r>
        <w:rPr>
          <w:b/>
          <w:sz w:val="28"/>
        </w:rPr>
        <w:t>Nimesh Mehta</w:t>
      </w:r>
    </w:p>
    <w:p w14:paraId="32E28699" w14:textId="77777777" w:rsidR="00823510" w:rsidRPr="00A66326" w:rsidRDefault="00823510" w:rsidP="007603A7">
      <w:r w:rsidRPr="00A66326">
        <w:t>Signed o</w:t>
      </w:r>
      <w:r>
        <w:t xml:space="preserve">ff </w:t>
      </w:r>
      <w:r w:rsidRPr="00A66326">
        <w:t xml:space="preserve">by the </w:t>
      </w:r>
      <w:r>
        <w:t>Head of Procurement</w:t>
      </w:r>
    </w:p>
    <w:p w14:paraId="37526BFB" w14:textId="1D06691B" w:rsidR="00823510" w:rsidRPr="003313EA" w:rsidRDefault="00823510" w:rsidP="007603A7">
      <w:pPr>
        <w:spacing w:after="480"/>
        <w:rPr>
          <w:sz w:val="28"/>
        </w:rPr>
      </w:pPr>
      <w:r w:rsidRPr="00B679E6">
        <w:rPr>
          <w:b/>
          <w:sz w:val="28"/>
        </w:rPr>
        <w:t>Date:</w:t>
      </w:r>
      <w:r w:rsidRPr="00A66326">
        <w:rPr>
          <w:b/>
          <w:sz w:val="28"/>
        </w:rPr>
        <w:t xml:space="preserve">  </w:t>
      </w:r>
      <w:r w:rsidR="00961B5A">
        <w:rPr>
          <w:b/>
          <w:sz w:val="28"/>
        </w:rPr>
        <w:t>22</w:t>
      </w:r>
      <w:r>
        <w:rPr>
          <w:b/>
          <w:sz w:val="28"/>
        </w:rPr>
        <w:t xml:space="preserve"> February</w:t>
      </w:r>
      <w:r w:rsidRPr="004B6007">
        <w:rPr>
          <w:b/>
          <w:sz w:val="28"/>
        </w:rPr>
        <w:t xml:space="preserve"> 202</w:t>
      </w:r>
      <w:r>
        <w:rPr>
          <w:b/>
          <w:sz w:val="28"/>
        </w:rPr>
        <w:t>2</w:t>
      </w:r>
    </w:p>
    <w:p w14:paraId="70055233" w14:textId="77777777" w:rsidR="00823510" w:rsidRPr="00A66326" w:rsidRDefault="00823510" w:rsidP="007603A7">
      <w:pPr>
        <w:rPr>
          <w:sz w:val="28"/>
        </w:rPr>
      </w:pPr>
      <w:r>
        <w:rPr>
          <w:b/>
          <w:sz w:val="28"/>
        </w:rPr>
        <w:t>Head of Internal Audit</w:t>
      </w:r>
      <w:r w:rsidRPr="00A66326">
        <w:rPr>
          <w:b/>
          <w:sz w:val="28"/>
        </w:rPr>
        <w:t xml:space="preserve">:  </w:t>
      </w:r>
      <w:r>
        <w:rPr>
          <w:b/>
          <w:sz w:val="28"/>
        </w:rPr>
        <w:t>Susan Dixson</w:t>
      </w:r>
    </w:p>
    <w:p w14:paraId="172F5C73" w14:textId="77777777" w:rsidR="00823510" w:rsidRPr="00A66326" w:rsidRDefault="00823510" w:rsidP="007603A7">
      <w:r w:rsidRPr="00A66326">
        <w:t xml:space="preserve">Signed </w:t>
      </w:r>
      <w:r>
        <w:t xml:space="preserve">off </w:t>
      </w:r>
      <w:r w:rsidRPr="00A66326">
        <w:t xml:space="preserve">by the </w:t>
      </w:r>
      <w:r>
        <w:t>Head of Internal Audit</w:t>
      </w:r>
    </w:p>
    <w:p w14:paraId="0EFA6D3D" w14:textId="2D3F2D9B" w:rsidR="00823510" w:rsidRDefault="00823510" w:rsidP="007603A7">
      <w:pPr>
        <w:rPr>
          <w:b/>
          <w:sz w:val="28"/>
        </w:rPr>
      </w:pPr>
      <w:r w:rsidRPr="004B6007">
        <w:rPr>
          <w:b/>
          <w:sz w:val="28"/>
        </w:rPr>
        <w:t xml:space="preserve">Date: </w:t>
      </w:r>
      <w:r w:rsidR="00961B5A">
        <w:rPr>
          <w:b/>
          <w:sz w:val="28"/>
        </w:rPr>
        <w:t>22</w:t>
      </w:r>
      <w:r>
        <w:rPr>
          <w:b/>
          <w:sz w:val="28"/>
        </w:rPr>
        <w:t xml:space="preserve"> February</w:t>
      </w:r>
      <w:r w:rsidRPr="004B6007">
        <w:rPr>
          <w:b/>
          <w:sz w:val="28"/>
        </w:rPr>
        <w:t xml:space="preserve"> 202</w:t>
      </w:r>
      <w:r>
        <w:rPr>
          <w:b/>
          <w:sz w:val="28"/>
        </w:rPr>
        <w:t>2</w:t>
      </w:r>
    </w:p>
    <w:p w14:paraId="383D7F3F" w14:textId="77777777" w:rsidR="00823510" w:rsidRPr="00435B5D" w:rsidRDefault="00823510" w:rsidP="007603A7">
      <w:pPr>
        <w:pStyle w:val="Heading2"/>
        <w:spacing w:before="480" w:after="240"/>
      </w:pPr>
      <w:r>
        <w:t>Mandatory Checks</w:t>
      </w:r>
    </w:p>
    <w:p w14:paraId="2A4775AB" w14:textId="77777777" w:rsidR="00823510" w:rsidRPr="00A406F3" w:rsidRDefault="00823510" w:rsidP="007603A7">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1279FC89" w14:textId="4A0E120D" w:rsidR="00823510" w:rsidRDefault="00823510" w:rsidP="007603A7">
      <w:pPr>
        <w:pStyle w:val="Heading3"/>
        <w:spacing w:before="240"/>
        <w:rPr>
          <w:highlight w:val="yellow"/>
        </w:rPr>
      </w:pPr>
      <w:r w:rsidRPr="00202D79">
        <w:t>EqIA carried out:</w:t>
      </w:r>
      <w:r>
        <w:t xml:space="preserve">  Yes  </w:t>
      </w:r>
    </w:p>
    <w:p w14:paraId="6CD9DE52" w14:textId="5878E576" w:rsidR="00823510" w:rsidRPr="00303FD6" w:rsidRDefault="00823510" w:rsidP="007603A7">
      <w:pPr>
        <w:pStyle w:val="Heading3"/>
        <w:spacing w:before="240"/>
        <w:jc w:val="left"/>
        <w:rPr>
          <w:color w:val="FF0000"/>
        </w:rPr>
      </w:pPr>
      <w:r w:rsidRPr="00202D79">
        <w:t>EqIA cleared by:</w:t>
      </w:r>
      <w:r>
        <w:t xml:space="preserve">  </w:t>
      </w:r>
      <w:r w:rsidR="00180B13">
        <w:t>Shumailla Dar</w:t>
      </w:r>
    </w:p>
    <w:p w14:paraId="2311B06E" w14:textId="2EC710FD" w:rsidR="0063521A" w:rsidRDefault="0063521A" w:rsidP="007603A7">
      <w:pPr>
        <w:pStyle w:val="Infotext"/>
        <w:spacing w:before="480"/>
      </w:pPr>
      <w:r>
        <w:rPr>
          <w:rFonts w:ascii="Arial Black" w:hAnsi="Arial Black"/>
        </w:rPr>
        <w:t>Call-in w</w:t>
      </w:r>
      <w:r w:rsidRPr="007C0DC3">
        <w:rPr>
          <w:rFonts w:ascii="Arial Black" w:hAnsi="Arial Black"/>
        </w:rPr>
        <w:t>aived by the Chair of Overview and Scrutiny Committee</w:t>
      </w:r>
      <w:r w:rsidR="007603A7">
        <w:rPr>
          <w:i/>
          <w:sz w:val="24"/>
          <w:szCs w:val="24"/>
        </w:rPr>
        <w:t xml:space="preserve"> -</w:t>
      </w:r>
      <w:r w:rsidRPr="003D78F6">
        <w:rPr>
          <w:b/>
        </w:rPr>
        <w:t xml:space="preserve">NO </w:t>
      </w:r>
    </w:p>
    <w:sectPr w:rsidR="0063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6A741C"/>
    <w:multiLevelType w:val="multilevel"/>
    <w:tmpl w:val="9CAAA02E"/>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635421"/>
    <w:multiLevelType w:val="hybridMultilevel"/>
    <w:tmpl w:val="73C2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E0C00"/>
    <w:multiLevelType w:val="hybridMultilevel"/>
    <w:tmpl w:val="3B4AD8FE"/>
    <w:lvl w:ilvl="0" w:tplc="BB16A9D4">
      <w:start w:val="1"/>
      <w:numFmt w:val="lowerRoman"/>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0"/>
  </w:num>
  <w:num w:numId="6">
    <w:abstractNumId w:val="6"/>
  </w:num>
  <w:num w:numId="7">
    <w:abstractNumId w:val="7"/>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A"/>
    <w:rsid w:val="00014980"/>
    <w:rsid w:val="00016563"/>
    <w:rsid w:val="00043E03"/>
    <w:rsid w:val="000661AE"/>
    <w:rsid w:val="0008143E"/>
    <w:rsid w:val="000957A3"/>
    <w:rsid w:val="00097961"/>
    <w:rsid w:val="000A76BC"/>
    <w:rsid w:val="000D2B4E"/>
    <w:rsid w:val="000D51BC"/>
    <w:rsid w:val="000E142A"/>
    <w:rsid w:val="00137224"/>
    <w:rsid w:val="001411D9"/>
    <w:rsid w:val="00156C84"/>
    <w:rsid w:val="00157062"/>
    <w:rsid w:val="00180B13"/>
    <w:rsid w:val="001F6A37"/>
    <w:rsid w:val="00207DCE"/>
    <w:rsid w:val="00214100"/>
    <w:rsid w:val="002627B3"/>
    <w:rsid w:val="00271A18"/>
    <w:rsid w:val="00286E7A"/>
    <w:rsid w:val="002A2AB6"/>
    <w:rsid w:val="002D4910"/>
    <w:rsid w:val="002E2509"/>
    <w:rsid w:val="002E3BD0"/>
    <w:rsid w:val="002E666D"/>
    <w:rsid w:val="00326581"/>
    <w:rsid w:val="003312FE"/>
    <w:rsid w:val="0034675F"/>
    <w:rsid w:val="00363C0D"/>
    <w:rsid w:val="003A0CC6"/>
    <w:rsid w:val="003C3D95"/>
    <w:rsid w:val="003E483E"/>
    <w:rsid w:val="003F42FD"/>
    <w:rsid w:val="0043206D"/>
    <w:rsid w:val="004326C6"/>
    <w:rsid w:val="004420D6"/>
    <w:rsid w:val="004517F3"/>
    <w:rsid w:val="0047153E"/>
    <w:rsid w:val="00475C8A"/>
    <w:rsid w:val="00497816"/>
    <w:rsid w:val="004D1D3A"/>
    <w:rsid w:val="004D59E8"/>
    <w:rsid w:val="004E7B34"/>
    <w:rsid w:val="004F4FF0"/>
    <w:rsid w:val="00542FE2"/>
    <w:rsid w:val="00543CA7"/>
    <w:rsid w:val="00565879"/>
    <w:rsid w:val="005A19F7"/>
    <w:rsid w:val="005D383F"/>
    <w:rsid w:val="005D6F9C"/>
    <w:rsid w:val="005E01E3"/>
    <w:rsid w:val="005E1D8C"/>
    <w:rsid w:val="005E2C9C"/>
    <w:rsid w:val="00611C67"/>
    <w:rsid w:val="006175F5"/>
    <w:rsid w:val="0063521A"/>
    <w:rsid w:val="0066693F"/>
    <w:rsid w:val="00674CEC"/>
    <w:rsid w:val="00677DD6"/>
    <w:rsid w:val="00687143"/>
    <w:rsid w:val="006F2B61"/>
    <w:rsid w:val="007207CE"/>
    <w:rsid w:val="00724693"/>
    <w:rsid w:val="00732E29"/>
    <w:rsid w:val="00743602"/>
    <w:rsid w:val="00760075"/>
    <w:rsid w:val="007603A7"/>
    <w:rsid w:val="00785526"/>
    <w:rsid w:val="007956D1"/>
    <w:rsid w:val="007D0703"/>
    <w:rsid w:val="007D48A0"/>
    <w:rsid w:val="00823510"/>
    <w:rsid w:val="00834A32"/>
    <w:rsid w:val="00852E8F"/>
    <w:rsid w:val="00873366"/>
    <w:rsid w:val="008D6A52"/>
    <w:rsid w:val="008E161D"/>
    <w:rsid w:val="008E2ACE"/>
    <w:rsid w:val="008F1BA0"/>
    <w:rsid w:val="009009A9"/>
    <w:rsid w:val="00906747"/>
    <w:rsid w:val="00915D1E"/>
    <w:rsid w:val="00916B12"/>
    <w:rsid w:val="009248DE"/>
    <w:rsid w:val="00927049"/>
    <w:rsid w:val="00952379"/>
    <w:rsid w:val="00961B5A"/>
    <w:rsid w:val="009705B4"/>
    <w:rsid w:val="009B0DC5"/>
    <w:rsid w:val="009B236A"/>
    <w:rsid w:val="009C1D91"/>
    <w:rsid w:val="009C5B1D"/>
    <w:rsid w:val="00A00D55"/>
    <w:rsid w:val="00A0722D"/>
    <w:rsid w:val="00A34263"/>
    <w:rsid w:val="00B00359"/>
    <w:rsid w:val="00B147BD"/>
    <w:rsid w:val="00B30B90"/>
    <w:rsid w:val="00B375FF"/>
    <w:rsid w:val="00B832E0"/>
    <w:rsid w:val="00B91700"/>
    <w:rsid w:val="00B95CA0"/>
    <w:rsid w:val="00B974C0"/>
    <w:rsid w:val="00BD4C1E"/>
    <w:rsid w:val="00BE342C"/>
    <w:rsid w:val="00BE435F"/>
    <w:rsid w:val="00BF3C07"/>
    <w:rsid w:val="00C52184"/>
    <w:rsid w:val="00C67914"/>
    <w:rsid w:val="00C71F9E"/>
    <w:rsid w:val="00CA4563"/>
    <w:rsid w:val="00CF750C"/>
    <w:rsid w:val="00D21FB5"/>
    <w:rsid w:val="00D24015"/>
    <w:rsid w:val="00DE6CF6"/>
    <w:rsid w:val="00E06E8A"/>
    <w:rsid w:val="00E10759"/>
    <w:rsid w:val="00E40A14"/>
    <w:rsid w:val="00E60ABB"/>
    <w:rsid w:val="00E8181C"/>
    <w:rsid w:val="00EA6076"/>
    <w:rsid w:val="00EF0C11"/>
    <w:rsid w:val="00F118B1"/>
    <w:rsid w:val="00F14DFB"/>
    <w:rsid w:val="00F35B4C"/>
    <w:rsid w:val="00F45AB6"/>
    <w:rsid w:val="00F669D2"/>
    <w:rsid w:val="00F74423"/>
    <w:rsid w:val="00F8730E"/>
    <w:rsid w:val="00FA3942"/>
    <w:rsid w:val="00FB0CC2"/>
    <w:rsid w:val="00FB0DCB"/>
    <w:rsid w:val="00FC4741"/>
    <w:rsid w:val="00FD5CD6"/>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6CDC"/>
  <w15:chartTrackingRefBased/>
  <w15:docId w15:val="{F7BDF47B-4AD9-4595-A0CA-9318F47A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1A"/>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63521A"/>
    <w:pPr>
      <w:outlineLvl w:val="0"/>
    </w:pPr>
    <w:rPr>
      <w:b w:val="0"/>
      <w:sz w:val="36"/>
    </w:rPr>
  </w:style>
  <w:style w:type="paragraph" w:styleId="Heading2">
    <w:name w:val="heading 2"/>
    <w:basedOn w:val="Normal"/>
    <w:next w:val="Normal"/>
    <w:link w:val="Heading2Char"/>
    <w:qFormat/>
    <w:rsid w:val="0063521A"/>
    <w:pPr>
      <w:outlineLvl w:val="1"/>
    </w:pPr>
    <w:rPr>
      <w:rFonts w:ascii="Arial Black" w:hAnsi="Arial Black" w:cs="Arial"/>
      <w:b/>
      <w:bCs/>
      <w:sz w:val="32"/>
      <w:szCs w:val="32"/>
    </w:rPr>
  </w:style>
  <w:style w:type="paragraph" w:styleId="Heading3">
    <w:name w:val="heading 3"/>
    <w:basedOn w:val="Normal"/>
    <w:next w:val="Normal"/>
    <w:link w:val="Heading3Char"/>
    <w:qFormat/>
    <w:rsid w:val="0063521A"/>
    <w:pPr>
      <w:ind w:left="720" w:hanging="720"/>
      <w:jc w:val="both"/>
      <w:outlineLvl w:val="2"/>
    </w:pPr>
    <w:rPr>
      <w:rFonts w:cs="Arial"/>
      <w:b/>
      <w:bCs/>
      <w:sz w:val="28"/>
      <w:szCs w:val="28"/>
    </w:rPr>
  </w:style>
  <w:style w:type="paragraph" w:styleId="Heading4">
    <w:name w:val="heading 4"/>
    <w:basedOn w:val="Normal"/>
    <w:next w:val="Normal"/>
    <w:link w:val="Heading4Char"/>
    <w:qFormat/>
    <w:rsid w:val="0063521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21A"/>
    <w:rPr>
      <w:rFonts w:ascii="Arial Black" w:eastAsia="Times New Roman" w:hAnsi="Arial Black" w:cs="Arial"/>
      <w:bCs/>
      <w:sz w:val="36"/>
      <w:szCs w:val="32"/>
    </w:rPr>
  </w:style>
  <w:style w:type="character" w:customStyle="1" w:styleId="Heading2Char">
    <w:name w:val="Heading 2 Char"/>
    <w:basedOn w:val="DefaultParagraphFont"/>
    <w:link w:val="Heading2"/>
    <w:rsid w:val="0063521A"/>
    <w:rPr>
      <w:rFonts w:ascii="Arial Black" w:eastAsia="Times New Roman" w:hAnsi="Arial Black" w:cs="Arial"/>
      <w:b/>
      <w:bCs/>
      <w:sz w:val="32"/>
      <w:szCs w:val="32"/>
    </w:rPr>
  </w:style>
  <w:style w:type="character" w:customStyle="1" w:styleId="Heading3Char">
    <w:name w:val="Heading 3 Char"/>
    <w:basedOn w:val="DefaultParagraphFont"/>
    <w:link w:val="Heading3"/>
    <w:rsid w:val="0063521A"/>
    <w:rPr>
      <w:rFonts w:ascii="Arial" w:eastAsia="Times New Roman" w:hAnsi="Arial" w:cs="Arial"/>
      <w:b/>
      <w:bCs/>
      <w:sz w:val="28"/>
      <w:szCs w:val="28"/>
    </w:rPr>
  </w:style>
  <w:style w:type="character" w:customStyle="1" w:styleId="Heading4Char">
    <w:name w:val="Heading 4 Char"/>
    <w:basedOn w:val="DefaultParagraphFont"/>
    <w:link w:val="Heading4"/>
    <w:rsid w:val="0063521A"/>
    <w:rPr>
      <w:rFonts w:ascii="Arial" w:eastAsia="Times New Roman" w:hAnsi="Arial" w:cs="Arial"/>
      <w:b/>
      <w:sz w:val="24"/>
      <w:szCs w:val="20"/>
    </w:rPr>
  </w:style>
  <w:style w:type="paragraph" w:customStyle="1" w:styleId="Infotext">
    <w:name w:val="Info text"/>
    <w:basedOn w:val="Normal"/>
    <w:rsid w:val="0063521A"/>
    <w:rPr>
      <w:sz w:val="28"/>
    </w:rPr>
  </w:style>
  <w:style w:type="character" w:styleId="Hyperlink">
    <w:name w:val="Hyperlink"/>
    <w:rsid w:val="0063521A"/>
    <w:rPr>
      <w:color w:val="0000FF"/>
      <w:u w:val="single"/>
    </w:rPr>
  </w:style>
  <w:style w:type="paragraph" w:styleId="ListParagraph">
    <w:name w:val="List Paragraph"/>
    <w:basedOn w:val="Normal"/>
    <w:qFormat/>
    <w:rsid w:val="0063521A"/>
    <w:pPr>
      <w:ind w:left="720"/>
    </w:pPr>
  </w:style>
  <w:style w:type="table" w:customStyle="1" w:styleId="Style1">
    <w:name w:val="Style1"/>
    <w:basedOn w:val="TableNormal"/>
    <w:uiPriority w:val="99"/>
    <w:rsid w:val="0063521A"/>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63521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63521A"/>
  </w:style>
  <w:style w:type="character" w:customStyle="1" w:styleId="eop">
    <w:name w:val="eop"/>
    <w:basedOn w:val="DefaultParagraphFont"/>
    <w:rsid w:val="0063521A"/>
  </w:style>
  <w:style w:type="paragraph" w:styleId="BalloonText">
    <w:name w:val="Balloon Text"/>
    <w:basedOn w:val="Normal"/>
    <w:link w:val="BalloonTextChar"/>
    <w:uiPriority w:val="99"/>
    <w:semiHidden/>
    <w:unhideWhenUsed/>
    <w:rsid w:val="00B8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E0"/>
    <w:rPr>
      <w:rFonts w:ascii="Segoe UI" w:eastAsia="Times New Roman" w:hAnsi="Segoe UI" w:cs="Segoe UI"/>
      <w:sz w:val="18"/>
      <w:szCs w:val="18"/>
    </w:rPr>
  </w:style>
  <w:style w:type="table" w:styleId="TableGrid">
    <w:name w:val="Table Grid"/>
    <w:basedOn w:val="TableNormal"/>
    <w:uiPriority w:val="39"/>
    <w:rsid w:val="00B8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6563"/>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952379"/>
    <w:rPr>
      <w:color w:val="605E5C"/>
      <w:shd w:val="clear" w:color="auto" w:fill="E1DFDD"/>
    </w:rPr>
  </w:style>
  <w:style w:type="character" w:styleId="FollowedHyperlink">
    <w:name w:val="FollowedHyperlink"/>
    <w:basedOn w:val="DefaultParagraphFont"/>
    <w:uiPriority w:val="99"/>
    <w:semiHidden/>
    <w:unhideWhenUsed/>
    <w:rsid w:val="00E06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9676">
      <w:bodyDiv w:val="1"/>
      <w:marLeft w:val="0"/>
      <w:marRight w:val="0"/>
      <w:marTop w:val="0"/>
      <w:marBottom w:val="0"/>
      <w:divBdr>
        <w:top w:val="none" w:sz="0" w:space="0" w:color="auto"/>
        <w:left w:val="none" w:sz="0" w:space="0" w:color="auto"/>
        <w:bottom w:val="none" w:sz="0" w:space="0" w:color="auto"/>
        <w:right w:val="none" w:sz="0" w:space="0" w:color="auto"/>
      </w:divBdr>
    </w:div>
    <w:div w:id="457261309">
      <w:bodyDiv w:val="1"/>
      <w:marLeft w:val="0"/>
      <w:marRight w:val="0"/>
      <w:marTop w:val="0"/>
      <w:marBottom w:val="0"/>
      <w:divBdr>
        <w:top w:val="none" w:sz="0" w:space="0" w:color="auto"/>
        <w:left w:val="none" w:sz="0" w:space="0" w:color="auto"/>
        <w:bottom w:val="none" w:sz="0" w:space="0" w:color="auto"/>
        <w:right w:val="none" w:sz="0" w:space="0" w:color="auto"/>
      </w:divBdr>
    </w:div>
    <w:div w:id="811873821">
      <w:bodyDiv w:val="1"/>
      <w:marLeft w:val="0"/>
      <w:marRight w:val="0"/>
      <w:marTop w:val="0"/>
      <w:marBottom w:val="0"/>
      <w:divBdr>
        <w:top w:val="none" w:sz="0" w:space="0" w:color="auto"/>
        <w:left w:val="none" w:sz="0" w:space="0" w:color="auto"/>
        <w:bottom w:val="none" w:sz="0" w:space="0" w:color="auto"/>
        <w:right w:val="none" w:sz="0" w:space="0" w:color="auto"/>
      </w:divBdr>
    </w:div>
    <w:div w:id="1148741919">
      <w:bodyDiv w:val="1"/>
      <w:marLeft w:val="0"/>
      <w:marRight w:val="0"/>
      <w:marTop w:val="0"/>
      <w:marBottom w:val="0"/>
      <w:divBdr>
        <w:top w:val="none" w:sz="0" w:space="0" w:color="auto"/>
        <w:left w:val="none" w:sz="0" w:space="0" w:color="auto"/>
        <w:bottom w:val="none" w:sz="0" w:space="0" w:color="auto"/>
        <w:right w:val="none" w:sz="0" w:space="0" w:color="auto"/>
      </w:divBdr>
    </w:div>
    <w:div w:id="1278875229">
      <w:bodyDiv w:val="1"/>
      <w:marLeft w:val="0"/>
      <w:marRight w:val="0"/>
      <w:marTop w:val="0"/>
      <w:marBottom w:val="0"/>
      <w:divBdr>
        <w:top w:val="none" w:sz="0" w:space="0" w:color="auto"/>
        <w:left w:val="none" w:sz="0" w:space="0" w:color="auto"/>
        <w:bottom w:val="none" w:sz="0" w:space="0" w:color="auto"/>
        <w:right w:val="none" w:sz="0" w:space="0" w:color="auto"/>
      </w:divBdr>
    </w:div>
    <w:div w:id="1546404873">
      <w:bodyDiv w:val="1"/>
      <w:marLeft w:val="0"/>
      <w:marRight w:val="0"/>
      <w:marTop w:val="0"/>
      <w:marBottom w:val="0"/>
      <w:divBdr>
        <w:top w:val="none" w:sz="0" w:space="0" w:color="auto"/>
        <w:left w:val="none" w:sz="0" w:space="0" w:color="auto"/>
        <w:bottom w:val="none" w:sz="0" w:space="0" w:color="auto"/>
        <w:right w:val="none" w:sz="0" w:space="0" w:color="auto"/>
      </w:divBdr>
    </w:div>
    <w:div w:id="1566334162">
      <w:bodyDiv w:val="1"/>
      <w:marLeft w:val="0"/>
      <w:marRight w:val="0"/>
      <w:marTop w:val="0"/>
      <w:marBottom w:val="0"/>
      <w:divBdr>
        <w:top w:val="none" w:sz="0" w:space="0" w:color="auto"/>
        <w:left w:val="none" w:sz="0" w:space="0" w:color="auto"/>
        <w:bottom w:val="none" w:sz="0" w:space="0" w:color="auto"/>
        <w:right w:val="none" w:sz="0" w:space="0" w:color="auto"/>
      </w:divBdr>
    </w:div>
    <w:div w:id="1675301633">
      <w:bodyDiv w:val="1"/>
      <w:marLeft w:val="0"/>
      <w:marRight w:val="0"/>
      <w:marTop w:val="0"/>
      <w:marBottom w:val="0"/>
      <w:divBdr>
        <w:top w:val="none" w:sz="0" w:space="0" w:color="auto"/>
        <w:left w:val="none" w:sz="0" w:space="0" w:color="auto"/>
        <w:bottom w:val="none" w:sz="0" w:space="0" w:color="auto"/>
        <w:right w:val="none" w:sz="0" w:space="0" w:color="auto"/>
      </w:divBdr>
    </w:div>
    <w:div w:id="1793327658">
      <w:bodyDiv w:val="1"/>
      <w:marLeft w:val="0"/>
      <w:marRight w:val="0"/>
      <w:marTop w:val="0"/>
      <w:marBottom w:val="0"/>
      <w:divBdr>
        <w:top w:val="none" w:sz="0" w:space="0" w:color="auto"/>
        <w:left w:val="none" w:sz="0" w:space="0" w:color="auto"/>
        <w:bottom w:val="none" w:sz="0" w:space="0" w:color="auto"/>
        <w:right w:val="none" w:sz="0" w:space="0" w:color="auto"/>
      </w:divBdr>
    </w:div>
    <w:div w:id="1941135430">
      <w:bodyDiv w:val="1"/>
      <w:marLeft w:val="0"/>
      <w:marRight w:val="0"/>
      <w:marTop w:val="0"/>
      <w:marBottom w:val="0"/>
      <w:divBdr>
        <w:top w:val="none" w:sz="0" w:space="0" w:color="auto"/>
        <w:left w:val="none" w:sz="0" w:space="0" w:color="auto"/>
        <w:bottom w:val="none" w:sz="0" w:space="0" w:color="auto"/>
        <w:right w:val="none" w:sz="0" w:space="0" w:color="auto"/>
      </w:divBdr>
    </w:div>
    <w:div w:id="20813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Allaker</dc:creator>
  <cp:keywords/>
  <dc:description/>
  <cp:lastModifiedBy>Nikoleta Kemp</cp:lastModifiedBy>
  <cp:revision>5</cp:revision>
  <dcterms:created xsi:type="dcterms:W3CDTF">2022-02-25T15:36:00Z</dcterms:created>
  <dcterms:modified xsi:type="dcterms:W3CDTF">2022-03-02T12:18:00Z</dcterms:modified>
</cp:coreProperties>
</file>